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4715B" w14:textId="77777777" w:rsidR="00717BC2" w:rsidRPr="00F5497F" w:rsidRDefault="00717BC2" w:rsidP="009E1C4C">
      <w:pPr>
        <w:ind w:left="720"/>
        <w:jc w:val="both"/>
      </w:pPr>
    </w:p>
    <w:p w14:paraId="123D8674" w14:textId="77777777" w:rsidR="008808C9" w:rsidRPr="00F5497F" w:rsidRDefault="008808C9" w:rsidP="009E1C4C">
      <w:pPr>
        <w:ind w:left="720"/>
        <w:jc w:val="both"/>
      </w:pPr>
    </w:p>
    <w:p w14:paraId="5D5BD42D" w14:textId="77777777" w:rsidR="008808C9" w:rsidRPr="00F5497F" w:rsidRDefault="008808C9" w:rsidP="009E1C4C">
      <w:pPr>
        <w:ind w:left="720"/>
        <w:jc w:val="both"/>
      </w:pPr>
    </w:p>
    <w:p w14:paraId="26E7997E" w14:textId="44A701EC" w:rsidR="008808C9" w:rsidRPr="00F5497F" w:rsidRDefault="008808C9" w:rsidP="009E1C4C">
      <w:pPr>
        <w:ind w:left="720"/>
        <w:jc w:val="both"/>
      </w:pPr>
    </w:p>
    <w:p w14:paraId="1DF833C4" w14:textId="00398835" w:rsidR="00717BC2" w:rsidRPr="00F5497F" w:rsidRDefault="0085473F" w:rsidP="009E1C4C">
      <w:pPr>
        <w:ind w:left="720"/>
        <w:jc w:val="both"/>
      </w:pPr>
      <w:r w:rsidRPr="00F5497F">
        <w:rPr>
          <w:noProof/>
          <w:lang w:eastAsia="en-GB"/>
        </w:rPr>
        <w:drawing>
          <wp:anchor distT="0" distB="0" distL="114300" distR="114300" simplePos="0" relativeHeight="251658240" behindDoc="1" locked="0" layoutInCell="1" allowOverlap="1" wp14:anchorId="2E9F98C1" wp14:editId="1E884A3A">
            <wp:simplePos x="0" y="0"/>
            <wp:positionH relativeFrom="column">
              <wp:posOffset>526415</wp:posOffset>
            </wp:positionH>
            <wp:positionV relativeFrom="paragraph">
              <wp:posOffset>175260</wp:posOffset>
            </wp:positionV>
            <wp:extent cx="4975860" cy="2356485"/>
            <wp:effectExtent l="0" t="0" r="0" b="5715"/>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5676"/>
                    <a:stretch>
                      <a:fillRect/>
                    </a:stretch>
                  </pic:blipFill>
                  <pic:spPr bwMode="auto">
                    <a:xfrm>
                      <a:off x="0" y="0"/>
                      <a:ext cx="4975860" cy="2356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E6BA7F" w14:textId="1D05BD3D" w:rsidR="00717BC2" w:rsidRPr="00F5497F" w:rsidRDefault="00717BC2" w:rsidP="00F5497F">
      <w:pPr>
        <w:pStyle w:val="Title"/>
        <w:spacing w:line="360" w:lineRule="auto"/>
        <w:jc w:val="both"/>
      </w:pPr>
    </w:p>
    <w:p w14:paraId="0F8D813E" w14:textId="77777777" w:rsidR="00470CB6" w:rsidRPr="00F5497F" w:rsidRDefault="00470CB6" w:rsidP="00F5497F">
      <w:pPr>
        <w:pStyle w:val="Title"/>
        <w:spacing w:line="360" w:lineRule="auto"/>
        <w:jc w:val="both"/>
      </w:pPr>
    </w:p>
    <w:p w14:paraId="42A3D89A" w14:textId="77777777" w:rsidR="00470CB6" w:rsidRPr="00F5497F" w:rsidRDefault="00470CB6" w:rsidP="00F5497F">
      <w:pPr>
        <w:pStyle w:val="Title"/>
        <w:spacing w:line="360" w:lineRule="auto"/>
        <w:jc w:val="both"/>
      </w:pPr>
    </w:p>
    <w:p w14:paraId="22B964D0" w14:textId="77777777" w:rsidR="00470CB6" w:rsidRPr="00F5497F" w:rsidRDefault="00470CB6" w:rsidP="00F5497F">
      <w:pPr>
        <w:pStyle w:val="Title"/>
        <w:spacing w:line="360" w:lineRule="auto"/>
        <w:jc w:val="both"/>
      </w:pPr>
    </w:p>
    <w:p w14:paraId="3D5D4360" w14:textId="77777777" w:rsidR="00470CB6" w:rsidRPr="00F5497F" w:rsidRDefault="00470CB6" w:rsidP="00F5497F">
      <w:pPr>
        <w:pStyle w:val="Title"/>
        <w:spacing w:line="360" w:lineRule="auto"/>
        <w:jc w:val="both"/>
      </w:pPr>
    </w:p>
    <w:p w14:paraId="3DEE7C1D" w14:textId="77777777" w:rsidR="00470CB6" w:rsidRPr="00F5497F" w:rsidRDefault="00470CB6" w:rsidP="00F5497F">
      <w:pPr>
        <w:pStyle w:val="Title"/>
        <w:spacing w:line="360" w:lineRule="auto"/>
        <w:jc w:val="both"/>
      </w:pPr>
    </w:p>
    <w:p w14:paraId="011C2DE5" w14:textId="77777777" w:rsidR="00717BC2" w:rsidRPr="00F5497F" w:rsidRDefault="00717BC2" w:rsidP="009E1C4C">
      <w:pPr>
        <w:pStyle w:val="Title"/>
        <w:spacing w:line="360" w:lineRule="auto"/>
        <w:jc w:val="both"/>
      </w:pPr>
    </w:p>
    <w:p w14:paraId="31195700" w14:textId="77777777" w:rsidR="00717BC2" w:rsidRPr="00F5497F" w:rsidRDefault="00DC0A5B" w:rsidP="00DC0A5B">
      <w:pPr>
        <w:pStyle w:val="Title"/>
        <w:tabs>
          <w:tab w:val="left" w:pos="7095"/>
        </w:tabs>
        <w:spacing w:line="360" w:lineRule="auto"/>
        <w:jc w:val="both"/>
      </w:pPr>
      <w:r w:rsidRPr="00F5497F">
        <w:tab/>
      </w:r>
    </w:p>
    <w:p w14:paraId="342B664E" w14:textId="77777777" w:rsidR="00717BC2" w:rsidRPr="00F5497F" w:rsidRDefault="00717BC2" w:rsidP="00DC0A5B">
      <w:pPr>
        <w:pStyle w:val="Title"/>
        <w:spacing w:line="360" w:lineRule="auto"/>
      </w:pPr>
    </w:p>
    <w:p w14:paraId="0000925F" w14:textId="0605F5AB" w:rsidR="00DE3DF1" w:rsidRPr="00F5497F" w:rsidRDefault="00DE3DF1" w:rsidP="00DC0A5B">
      <w:pPr>
        <w:pStyle w:val="Heading4"/>
        <w:spacing w:line="360" w:lineRule="auto"/>
        <w:jc w:val="center"/>
        <w:rPr>
          <w:sz w:val="28"/>
        </w:rPr>
      </w:pPr>
      <w:r w:rsidRPr="00F5497F">
        <w:rPr>
          <w:sz w:val="28"/>
        </w:rPr>
        <w:t>Adverse Drug Reaction Reporting</w:t>
      </w:r>
    </w:p>
    <w:p w14:paraId="30FC020B" w14:textId="2DAE4F0E" w:rsidR="00DE3DF1" w:rsidRPr="00F5497F" w:rsidRDefault="00DE3DF1" w:rsidP="00DC0A5B">
      <w:pPr>
        <w:pStyle w:val="Heading4"/>
        <w:spacing w:line="360" w:lineRule="auto"/>
        <w:jc w:val="center"/>
        <w:rPr>
          <w:sz w:val="28"/>
        </w:rPr>
      </w:pPr>
      <w:r w:rsidRPr="00F5497F">
        <w:rPr>
          <w:sz w:val="28"/>
        </w:rPr>
        <w:t>&amp; Pharmacovigilance Guidance Notes</w:t>
      </w:r>
    </w:p>
    <w:p w14:paraId="4EE732AE" w14:textId="77777777" w:rsidR="00DE3DF1" w:rsidRPr="00F5497F" w:rsidRDefault="00DE3DF1" w:rsidP="00DC0A5B">
      <w:pPr>
        <w:pStyle w:val="Heading4"/>
        <w:spacing w:line="360" w:lineRule="auto"/>
        <w:jc w:val="center"/>
        <w:rPr>
          <w:sz w:val="28"/>
        </w:rPr>
      </w:pPr>
      <w:r w:rsidRPr="00F5497F">
        <w:rPr>
          <w:sz w:val="28"/>
        </w:rPr>
        <w:t>For Healthcare Professionals</w:t>
      </w:r>
    </w:p>
    <w:p w14:paraId="1690228E" w14:textId="77777777" w:rsidR="00DE3DF1" w:rsidRPr="00F5497F" w:rsidRDefault="00DE3DF1" w:rsidP="00F5497F">
      <w:pPr>
        <w:pStyle w:val="Heading4"/>
        <w:spacing w:line="360" w:lineRule="auto"/>
        <w:jc w:val="both"/>
        <w:rPr>
          <w:sz w:val="28"/>
        </w:rPr>
      </w:pPr>
    </w:p>
    <w:p w14:paraId="328A5B95" w14:textId="77777777" w:rsidR="00EA27FB" w:rsidRPr="00F5497F" w:rsidRDefault="00EA27FB" w:rsidP="009E1C4C">
      <w:pPr>
        <w:jc w:val="both"/>
      </w:pPr>
    </w:p>
    <w:p w14:paraId="00E82D3D" w14:textId="77777777" w:rsidR="00EA27FB" w:rsidRPr="00F5497F" w:rsidRDefault="00EA27FB" w:rsidP="009E1C4C">
      <w:pPr>
        <w:jc w:val="both"/>
      </w:pPr>
    </w:p>
    <w:p w14:paraId="661C22EC" w14:textId="77777777" w:rsidR="00EA27FB" w:rsidRPr="00F5497F" w:rsidRDefault="00EA27FB" w:rsidP="009E1C4C">
      <w:pPr>
        <w:jc w:val="both"/>
      </w:pPr>
    </w:p>
    <w:p w14:paraId="6074A68E" w14:textId="77777777" w:rsidR="00BE394A" w:rsidRPr="00F5497F" w:rsidRDefault="00BE394A" w:rsidP="00F5497F">
      <w:pPr>
        <w:pStyle w:val="Heading4"/>
        <w:jc w:val="both"/>
        <w:rPr>
          <w:sz w:val="28"/>
        </w:rPr>
      </w:pPr>
    </w:p>
    <w:p w14:paraId="76266D53" w14:textId="77777777" w:rsidR="00BE394A" w:rsidRPr="00F5497F" w:rsidRDefault="00BE394A" w:rsidP="00F5497F">
      <w:pPr>
        <w:pStyle w:val="Heading4"/>
        <w:jc w:val="both"/>
        <w:rPr>
          <w:sz w:val="28"/>
        </w:rPr>
      </w:pPr>
    </w:p>
    <w:p w14:paraId="3B3CFDE4" w14:textId="77777777" w:rsidR="00BE394A" w:rsidRPr="00F5497F" w:rsidRDefault="00BE394A" w:rsidP="00F5497F">
      <w:pPr>
        <w:pStyle w:val="Heading4"/>
        <w:jc w:val="both"/>
        <w:rPr>
          <w:sz w:val="28"/>
        </w:rPr>
      </w:pPr>
    </w:p>
    <w:p w14:paraId="2DE4EDAB" w14:textId="77777777" w:rsidR="00BE394A" w:rsidRPr="00F5497F" w:rsidRDefault="00BE394A" w:rsidP="00F5497F">
      <w:pPr>
        <w:pStyle w:val="Heading4"/>
        <w:jc w:val="both"/>
        <w:rPr>
          <w:sz w:val="28"/>
        </w:rPr>
      </w:pPr>
    </w:p>
    <w:p w14:paraId="427E8ACB" w14:textId="5CD2AD4D" w:rsidR="00BE394A" w:rsidRPr="00F5497F" w:rsidRDefault="00BE394A" w:rsidP="00F5497F">
      <w:pPr>
        <w:pStyle w:val="Heading4"/>
        <w:jc w:val="both"/>
        <w:rPr>
          <w:szCs w:val="16"/>
          <w:lang w:eastAsia="en-GB"/>
        </w:rPr>
      </w:pPr>
      <w:r w:rsidRPr="00F5497F">
        <w:t>GL-PL02.0</w:t>
      </w:r>
      <w:r w:rsidR="005E5EEE" w:rsidRPr="00F5497F">
        <w:t>6</w:t>
      </w:r>
      <w:r w:rsidRPr="00F5497F">
        <w:tab/>
      </w:r>
      <w:r w:rsidRPr="00F5497F">
        <w:tab/>
      </w:r>
      <w:r w:rsidRPr="00F5497F">
        <w:tab/>
      </w:r>
      <w:r w:rsidRPr="00F5497F">
        <w:tab/>
      </w:r>
      <w:r w:rsidRPr="00F5497F">
        <w:tab/>
      </w:r>
      <w:r w:rsidRPr="00F5497F">
        <w:tab/>
      </w:r>
      <w:r w:rsidRPr="00F5497F">
        <w:tab/>
      </w:r>
      <w:r w:rsidRPr="00F5497F">
        <w:tab/>
      </w:r>
    </w:p>
    <w:p w14:paraId="0B9F6724" w14:textId="77777777" w:rsidR="00BE394A" w:rsidRPr="00F5497F" w:rsidRDefault="00BE394A" w:rsidP="00F5497F">
      <w:pPr>
        <w:pStyle w:val="Heading4"/>
        <w:jc w:val="both"/>
        <w:rPr>
          <w:szCs w:val="16"/>
          <w:lang w:eastAsia="en-GB"/>
        </w:rPr>
      </w:pPr>
    </w:p>
    <w:p w14:paraId="7D4477F0" w14:textId="29310B1A" w:rsidR="00BE394A" w:rsidRPr="00F5497F" w:rsidRDefault="00A56C09" w:rsidP="00F5497F">
      <w:pPr>
        <w:pStyle w:val="Heading4"/>
        <w:jc w:val="both"/>
        <w:rPr>
          <w:sz w:val="28"/>
          <w:szCs w:val="18"/>
          <w:lang w:eastAsia="en-GB"/>
        </w:rPr>
      </w:pPr>
      <w:r>
        <w:rPr>
          <w:szCs w:val="16"/>
          <w:lang w:eastAsia="en-GB"/>
        </w:rPr>
        <w:t>July</w:t>
      </w:r>
      <w:r w:rsidR="005E5EEE" w:rsidRPr="00F5497F">
        <w:rPr>
          <w:szCs w:val="16"/>
          <w:lang w:eastAsia="en-GB"/>
        </w:rPr>
        <w:t xml:space="preserve"> 2026</w:t>
      </w:r>
      <w:r w:rsidR="00BE394A" w:rsidRPr="00F5497F">
        <w:rPr>
          <w:szCs w:val="16"/>
        </w:rPr>
        <w:t xml:space="preserve"> </w:t>
      </w:r>
      <w:r w:rsidR="00BE394A" w:rsidRPr="00F5497F">
        <w:rPr>
          <w:szCs w:val="16"/>
        </w:rPr>
        <w:tab/>
      </w:r>
      <w:r w:rsidR="00BE394A" w:rsidRPr="00F5497F">
        <w:rPr>
          <w:szCs w:val="16"/>
        </w:rPr>
        <w:tab/>
      </w:r>
      <w:r w:rsidR="00BE394A" w:rsidRPr="00F5497F">
        <w:rPr>
          <w:szCs w:val="16"/>
        </w:rPr>
        <w:tab/>
      </w:r>
      <w:r w:rsidR="00BE394A" w:rsidRPr="00F5497F">
        <w:rPr>
          <w:szCs w:val="16"/>
        </w:rPr>
        <w:tab/>
      </w:r>
      <w:r w:rsidR="00BE394A" w:rsidRPr="00F5497F">
        <w:rPr>
          <w:szCs w:val="16"/>
        </w:rPr>
        <w:tab/>
      </w:r>
      <w:r w:rsidR="00BE394A" w:rsidRPr="00F5497F">
        <w:rPr>
          <w:szCs w:val="16"/>
        </w:rPr>
        <w:tab/>
      </w:r>
      <w:r w:rsidR="00BE394A" w:rsidRPr="00F5497F">
        <w:rPr>
          <w:szCs w:val="16"/>
        </w:rPr>
        <w:tab/>
      </w:r>
      <w:r w:rsidR="00BE394A" w:rsidRPr="00F5497F">
        <w:rPr>
          <w:sz w:val="28"/>
          <w:szCs w:val="18"/>
        </w:rPr>
        <w:tab/>
      </w:r>
    </w:p>
    <w:p w14:paraId="46BA244E" w14:textId="77777777" w:rsidR="00BE394A" w:rsidRPr="00F5497F" w:rsidRDefault="003E5FF7" w:rsidP="00F5497F">
      <w:pPr>
        <w:pStyle w:val="Heading4"/>
        <w:jc w:val="both"/>
        <w:rPr>
          <w:szCs w:val="16"/>
          <w:lang w:eastAsia="en-GB"/>
        </w:rPr>
      </w:pPr>
      <w:r w:rsidRPr="00F5497F">
        <w:rPr>
          <w:szCs w:val="16"/>
          <w:lang w:eastAsia="en-GB"/>
        </w:rPr>
        <w:t>Post Licensing Directorate</w:t>
      </w:r>
    </w:p>
    <w:p w14:paraId="6E0F9063" w14:textId="77777777" w:rsidR="004522DD" w:rsidRPr="00F5497F" w:rsidRDefault="004522DD" w:rsidP="00F5497F">
      <w:pPr>
        <w:pStyle w:val="Heading1"/>
        <w:jc w:val="both"/>
        <w:rPr>
          <w:rFonts w:ascii="Times New Roman" w:hAnsi="Times New Roman" w:cs="Times New Roman"/>
        </w:rPr>
      </w:pPr>
    </w:p>
    <w:p w14:paraId="66230DD0" w14:textId="77777777" w:rsidR="001B5B2F" w:rsidRPr="00F5497F" w:rsidRDefault="001B5B2F" w:rsidP="00F5497F">
      <w:pPr>
        <w:jc w:val="both"/>
      </w:pPr>
    </w:p>
    <w:p w14:paraId="69D5DB79" w14:textId="77777777" w:rsidR="00A3172C" w:rsidRPr="00F5497F" w:rsidRDefault="005E5EEE" w:rsidP="00F5497F">
      <w:pPr>
        <w:keepNext/>
        <w:keepLines/>
        <w:spacing w:before="360"/>
        <w:ind w:left="425"/>
        <w:jc w:val="both"/>
        <w:rPr>
          <w:b/>
          <w:lang w:val="en-US"/>
        </w:rPr>
      </w:pPr>
      <w:r w:rsidRPr="00F5497F">
        <w:rPr>
          <w:b/>
          <w:bCs/>
          <w:szCs w:val="24"/>
          <w:lang w:val="en-US"/>
        </w:rPr>
        <w:br w:type="page"/>
      </w:r>
      <w:r w:rsidR="005F4F48" w:rsidRPr="00F5497F">
        <w:rPr>
          <w:b/>
          <w:lang w:val="en-US"/>
        </w:rPr>
        <w:lastRenderedPageBreak/>
        <w:t>TABLE OF CONTENTS</w:t>
      </w:r>
    </w:p>
    <w:p w14:paraId="4C5194E9" w14:textId="77777777" w:rsidR="00A3172C" w:rsidRPr="00F5497F" w:rsidRDefault="00A3172C" w:rsidP="00F5497F">
      <w:pPr>
        <w:keepNext/>
        <w:keepLines/>
        <w:jc w:val="both"/>
        <w:rPr>
          <w:b/>
          <w:lang w:val="en-US"/>
        </w:rPr>
      </w:pPr>
    </w:p>
    <w:p w14:paraId="6E552066" w14:textId="5EC857C5" w:rsidR="004778D9" w:rsidRDefault="004522DD">
      <w:pPr>
        <w:pStyle w:val="TOC1"/>
        <w:rPr>
          <w:rFonts w:asciiTheme="minorHAnsi" w:eastAsiaTheme="minorEastAsia" w:hAnsiTheme="minorHAnsi" w:cstheme="minorBidi"/>
          <w:noProof/>
          <w:kern w:val="2"/>
          <w:sz w:val="24"/>
          <w:szCs w:val="24"/>
          <w14:ligatures w14:val="standardContextual"/>
        </w:rPr>
      </w:pPr>
      <w:r w:rsidRPr="00F5497F">
        <w:rPr>
          <w:b/>
          <w:bCs/>
          <w:sz w:val="24"/>
          <w:szCs w:val="24"/>
        </w:rPr>
        <w:fldChar w:fldCharType="begin"/>
      </w:r>
      <w:r w:rsidRPr="00F5497F">
        <w:rPr>
          <w:b/>
          <w:bCs/>
          <w:sz w:val="24"/>
          <w:szCs w:val="24"/>
        </w:rPr>
        <w:instrText xml:space="preserve"> TOC \o "1-3" \h \z \u </w:instrText>
      </w:r>
      <w:r w:rsidRPr="00F5497F">
        <w:rPr>
          <w:b/>
          <w:bCs/>
          <w:sz w:val="24"/>
          <w:szCs w:val="24"/>
        </w:rPr>
        <w:fldChar w:fldCharType="separate"/>
      </w:r>
      <w:hyperlink w:anchor="_Toc236129998" w:history="1">
        <w:r w:rsidR="004778D9" w:rsidRPr="007F2BE0">
          <w:rPr>
            <w:rStyle w:val="Hyperlink"/>
            <w:noProof/>
          </w:rPr>
          <w:t>1.</w:t>
        </w:r>
        <w:r w:rsidR="004778D9">
          <w:rPr>
            <w:rFonts w:asciiTheme="minorHAnsi" w:eastAsiaTheme="minorEastAsia" w:hAnsiTheme="minorHAnsi" w:cstheme="minorBidi"/>
            <w:noProof/>
            <w:kern w:val="2"/>
            <w:sz w:val="24"/>
            <w:szCs w:val="24"/>
            <w14:ligatures w14:val="standardContextual"/>
          </w:rPr>
          <w:tab/>
        </w:r>
        <w:r w:rsidR="004778D9" w:rsidRPr="007F2BE0">
          <w:rPr>
            <w:rStyle w:val="Hyperlink"/>
            <w:noProof/>
          </w:rPr>
          <w:t>Introduction</w:t>
        </w:r>
        <w:r w:rsidR="004778D9">
          <w:rPr>
            <w:noProof/>
            <w:webHidden/>
          </w:rPr>
          <w:tab/>
        </w:r>
        <w:r w:rsidR="004778D9">
          <w:rPr>
            <w:noProof/>
            <w:webHidden/>
          </w:rPr>
          <w:fldChar w:fldCharType="begin"/>
        </w:r>
        <w:r w:rsidR="004778D9">
          <w:rPr>
            <w:noProof/>
            <w:webHidden/>
          </w:rPr>
          <w:instrText xml:space="preserve"> PAGEREF _Toc236129998 \h </w:instrText>
        </w:r>
        <w:r w:rsidR="004778D9">
          <w:rPr>
            <w:noProof/>
            <w:webHidden/>
          </w:rPr>
        </w:r>
        <w:r w:rsidR="004778D9">
          <w:rPr>
            <w:noProof/>
            <w:webHidden/>
          </w:rPr>
          <w:fldChar w:fldCharType="separate"/>
        </w:r>
        <w:r w:rsidR="004778D9">
          <w:rPr>
            <w:noProof/>
            <w:webHidden/>
          </w:rPr>
          <w:t>3</w:t>
        </w:r>
        <w:r w:rsidR="004778D9">
          <w:rPr>
            <w:noProof/>
            <w:webHidden/>
          </w:rPr>
          <w:fldChar w:fldCharType="end"/>
        </w:r>
      </w:hyperlink>
    </w:p>
    <w:p w14:paraId="52C8EB6E" w14:textId="000B3A7E" w:rsidR="004778D9" w:rsidRDefault="004778D9">
      <w:pPr>
        <w:pStyle w:val="TOC1"/>
        <w:rPr>
          <w:rFonts w:asciiTheme="minorHAnsi" w:eastAsiaTheme="minorEastAsia" w:hAnsiTheme="minorHAnsi" w:cstheme="minorBidi"/>
          <w:noProof/>
          <w:kern w:val="2"/>
          <w:sz w:val="24"/>
          <w:szCs w:val="24"/>
          <w14:ligatures w14:val="standardContextual"/>
        </w:rPr>
      </w:pPr>
      <w:hyperlink w:anchor="_Toc236129999" w:history="1">
        <w:r w:rsidRPr="007F2BE0">
          <w:rPr>
            <w:rStyle w:val="Hyperlink"/>
            <w:iCs/>
            <w:noProof/>
          </w:rPr>
          <w:t>2.</w:t>
        </w:r>
        <w:r>
          <w:rPr>
            <w:rFonts w:asciiTheme="minorHAnsi" w:eastAsiaTheme="minorEastAsia" w:hAnsiTheme="minorHAnsi" w:cstheme="minorBidi"/>
            <w:noProof/>
            <w:kern w:val="2"/>
            <w:sz w:val="24"/>
            <w:szCs w:val="24"/>
            <w14:ligatures w14:val="standardContextual"/>
          </w:rPr>
          <w:tab/>
        </w:r>
        <w:r w:rsidRPr="007F2BE0">
          <w:rPr>
            <w:rStyle w:val="Hyperlink"/>
            <w:iCs/>
            <w:noProof/>
          </w:rPr>
          <w:t>Scope</w:t>
        </w:r>
        <w:r>
          <w:rPr>
            <w:noProof/>
            <w:webHidden/>
          </w:rPr>
          <w:tab/>
        </w:r>
        <w:r>
          <w:rPr>
            <w:noProof/>
            <w:webHidden/>
          </w:rPr>
          <w:fldChar w:fldCharType="begin"/>
        </w:r>
        <w:r>
          <w:rPr>
            <w:noProof/>
            <w:webHidden/>
          </w:rPr>
          <w:instrText xml:space="preserve"> PAGEREF _Toc236129999 \h </w:instrText>
        </w:r>
        <w:r>
          <w:rPr>
            <w:noProof/>
            <w:webHidden/>
          </w:rPr>
        </w:r>
        <w:r>
          <w:rPr>
            <w:noProof/>
            <w:webHidden/>
          </w:rPr>
          <w:fldChar w:fldCharType="separate"/>
        </w:r>
        <w:r>
          <w:rPr>
            <w:noProof/>
            <w:webHidden/>
          </w:rPr>
          <w:t>3</w:t>
        </w:r>
        <w:r>
          <w:rPr>
            <w:noProof/>
            <w:webHidden/>
          </w:rPr>
          <w:fldChar w:fldCharType="end"/>
        </w:r>
      </w:hyperlink>
    </w:p>
    <w:p w14:paraId="00FCB6E7" w14:textId="3D6FDE03" w:rsidR="004778D9" w:rsidRDefault="004778D9">
      <w:pPr>
        <w:pStyle w:val="TOC1"/>
        <w:rPr>
          <w:rFonts w:asciiTheme="minorHAnsi" w:eastAsiaTheme="minorEastAsia" w:hAnsiTheme="minorHAnsi" w:cstheme="minorBidi"/>
          <w:noProof/>
          <w:kern w:val="2"/>
          <w:sz w:val="24"/>
          <w:szCs w:val="24"/>
          <w14:ligatures w14:val="standardContextual"/>
        </w:rPr>
      </w:pPr>
      <w:hyperlink w:anchor="_Toc236130000" w:history="1">
        <w:r w:rsidRPr="007F2BE0">
          <w:rPr>
            <w:rStyle w:val="Hyperlink"/>
            <w:noProof/>
          </w:rPr>
          <w:t>3.</w:t>
        </w:r>
        <w:r>
          <w:rPr>
            <w:rFonts w:asciiTheme="minorHAnsi" w:eastAsiaTheme="minorEastAsia" w:hAnsiTheme="minorHAnsi" w:cstheme="minorBidi"/>
            <w:noProof/>
            <w:kern w:val="2"/>
            <w:sz w:val="24"/>
            <w:szCs w:val="24"/>
            <w14:ligatures w14:val="standardContextual"/>
          </w:rPr>
          <w:tab/>
        </w:r>
        <w:r w:rsidRPr="007F2BE0">
          <w:rPr>
            <w:rStyle w:val="Hyperlink"/>
            <w:iCs/>
            <w:noProof/>
          </w:rPr>
          <w:t>Abbreviations</w:t>
        </w:r>
        <w:r w:rsidRPr="007F2BE0">
          <w:rPr>
            <w:rStyle w:val="Hyperlink"/>
            <w:noProof/>
          </w:rPr>
          <w:t xml:space="preserve"> and Definitions</w:t>
        </w:r>
        <w:r>
          <w:rPr>
            <w:noProof/>
            <w:webHidden/>
          </w:rPr>
          <w:tab/>
        </w:r>
        <w:r>
          <w:rPr>
            <w:noProof/>
            <w:webHidden/>
          </w:rPr>
          <w:fldChar w:fldCharType="begin"/>
        </w:r>
        <w:r>
          <w:rPr>
            <w:noProof/>
            <w:webHidden/>
          </w:rPr>
          <w:instrText xml:space="preserve"> PAGEREF _Toc236130000 \h </w:instrText>
        </w:r>
        <w:r>
          <w:rPr>
            <w:noProof/>
            <w:webHidden/>
          </w:rPr>
        </w:r>
        <w:r>
          <w:rPr>
            <w:noProof/>
            <w:webHidden/>
          </w:rPr>
          <w:fldChar w:fldCharType="separate"/>
        </w:r>
        <w:r>
          <w:rPr>
            <w:noProof/>
            <w:webHidden/>
          </w:rPr>
          <w:t>3</w:t>
        </w:r>
        <w:r>
          <w:rPr>
            <w:noProof/>
            <w:webHidden/>
          </w:rPr>
          <w:fldChar w:fldCharType="end"/>
        </w:r>
      </w:hyperlink>
    </w:p>
    <w:p w14:paraId="45ACBCE5" w14:textId="7682869F" w:rsidR="004778D9" w:rsidRDefault="004778D9">
      <w:pPr>
        <w:pStyle w:val="TOC1"/>
        <w:rPr>
          <w:rFonts w:asciiTheme="minorHAnsi" w:eastAsiaTheme="minorEastAsia" w:hAnsiTheme="minorHAnsi" w:cstheme="minorBidi"/>
          <w:noProof/>
          <w:kern w:val="2"/>
          <w:sz w:val="24"/>
          <w:szCs w:val="24"/>
          <w14:ligatures w14:val="standardContextual"/>
        </w:rPr>
      </w:pPr>
      <w:hyperlink w:anchor="_Toc236130003" w:history="1">
        <w:r w:rsidRPr="007F2BE0">
          <w:rPr>
            <w:rStyle w:val="Hyperlink"/>
            <w:noProof/>
          </w:rPr>
          <w:t>4.</w:t>
        </w:r>
        <w:r>
          <w:rPr>
            <w:rFonts w:asciiTheme="minorHAnsi" w:eastAsiaTheme="minorEastAsia" w:hAnsiTheme="minorHAnsi" w:cstheme="minorBidi"/>
            <w:noProof/>
            <w:kern w:val="2"/>
            <w:sz w:val="24"/>
            <w:szCs w:val="24"/>
            <w14:ligatures w14:val="standardContextual"/>
          </w:rPr>
          <w:tab/>
        </w:r>
        <w:r w:rsidRPr="007F2BE0">
          <w:rPr>
            <w:rStyle w:val="Hyperlink"/>
            <w:noProof/>
          </w:rPr>
          <w:t>Why ongoing safety monitoring is necessary</w:t>
        </w:r>
        <w:r>
          <w:rPr>
            <w:noProof/>
            <w:webHidden/>
          </w:rPr>
          <w:tab/>
        </w:r>
        <w:r>
          <w:rPr>
            <w:noProof/>
            <w:webHidden/>
          </w:rPr>
          <w:fldChar w:fldCharType="begin"/>
        </w:r>
        <w:r>
          <w:rPr>
            <w:noProof/>
            <w:webHidden/>
          </w:rPr>
          <w:instrText xml:space="preserve"> PAGEREF _Toc236130003 \h </w:instrText>
        </w:r>
        <w:r>
          <w:rPr>
            <w:noProof/>
            <w:webHidden/>
          </w:rPr>
        </w:r>
        <w:r>
          <w:rPr>
            <w:noProof/>
            <w:webHidden/>
          </w:rPr>
          <w:fldChar w:fldCharType="separate"/>
        </w:r>
        <w:r>
          <w:rPr>
            <w:noProof/>
            <w:webHidden/>
          </w:rPr>
          <w:t>6</w:t>
        </w:r>
        <w:r>
          <w:rPr>
            <w:noProof/>
            <w:webHidden/>
          </w:rPr>
          <w:fldChar w:fldCharType="end"/>
        </w:r>
      </w:hyperlink>
    </w:p>
    <w:p w14:paraId="0ED77F5A" w14:textId="53BDA1EC" w:rsidR="004778D9" w:rsidRDefault="004778D9">
      <w:pPr>
        <w:pStyle w:val="TOC1"/>
        <w:rPr>
          <w:rFonts w:asciiTheme="minorHAnsi" w:eastAsiaTheme="minorEastAsia" w:hAnsiTheme="minorHAnsi" w:cstheme="minorBidi"/>
          <w:noProof/>
          <w:kern w:val="2"/>
          <w:sz w:val="24"/>
          <w:szCs w:val="24"/>
          <w14:ligatures w14:val="standardContextual"/>
        </w:rPr>
      </w:pPr>
      <w:hyperlink w:anchor="_Toc236130004" w:history="1">
        <w:r w:rsidRPr="007F2BE0">
          <w:rPr>
            <w:rStyle w:val="Hyperlink"/>
            <w:noProof/>
          </w:rPr>
          <w:t>5.</w:t>
        </w:r>
        <w:r>
          <w:rPr>
            <w:rFonts w:asciiTheme="minorHAnsi" w:eastAsiaTheme="minorEastAsia" w:hAnsiTheme="minorHAnsi" w:cstheme="minorBidi"/>
            <w:noProof/>
            <w:kern w:val="2"/>
            <w:sz w:val="24"/>
            <w:szCs w:val="24"/>
            <w14:ligatures w14:val="standardContextual"/>
          </w:rPr>
          <w:tab/>
        </w:r>
        <w:r w:rsidRPr="007F2BE0">
          <w:rPr>
            <w:rStyle w:val="Hyperlink"/>
            <w:noProof/>
          </w:rPr>
          <w:t>Pharmacovigilance in Malta and the EU</w:t>
        </w:r>
        <w:r>
          <w:rPr>
            <w:noProof/>
            <w:webHidden/>
          </w:rPr>
          <w:tab/>
        </w:r>
        <w:r>
          <w:rPr>
            <w:noProof/>
            <w:webHidden/>
          </w:rPr>
          <w:fldChar w:fldCharType="begin"/>
        </w:r>
        <w:r>
          <w:rPr>
            <w:noProof/>
            <w:webHidden/>
          </w:rPr>
          <w:instrText xml:space="preserve"> PAGEREF _Toc236130004 \h </w:instrText>
        </w:r>
        <w:r>
          <w:rPr>
            <w:noProof/>
            <w:webHidden/>
          </w:rPr>
        </w:r>
        <w:r>
          <w:rPr>
            <w:noProof/>
            <w:webHidden/>
          </w:rPr>
          <w:fldChar w:fldCharType="separate"/>
        </w:r>
        <w:r>
          <w:rPr>
            <w:noProof/>
            <w:webHidden/>
          </w:rPr>
          <w:t>6</w:t>
        </w:r>
        <w:r>
          <w:rPr>
            <w:noProof/>
            <w:webHidden/>
          </w:rPr>
          <w:fldChar w:fldCharType="end"/>
        </w:r>
      </w:hyperlink>
    </w:p>
    <w:p w14:paraId="5F0F9543" w14:textId="3DF045FB" w:rsidR="004778D9" w:rsidRDefault="004778D9">
      <w:pPr>
        <w:pStyle w:val="TOC1"/>
        <w:rPr>
          <w:rFonts w:asciiTheme="minorHAnsi" w:eastAsiaTheme="minorEastAsia" w:hAnsiTheme="minorHAnsi" w:cstheme="minorBidi"/>
          <w:noProof/>
          <w:kern w:val="2"/>
          <w:sz w:val="24"/>
          <w:szCs w:val="24"/>
          <w14:ligatures w14:val="standardContextual"/>
        </w:rPr>
      </w:pPr>
      <w:hyperlink w:anchor="_Toc236130007" w:history="1">
        <w:r w:rsidRPr="007F2BE0">
          <w:rPr>
            <w:rStyle w:val="Hyperlink"/>
            <w:noProof/>
          </w:rPr>
          <w:t>6.</w:t>
        </w:r>
        <w:r>
          <w:rPr>
            <w:rFonts w:asciiTheme="minorHAnsi" w:eastAsiaTheme="minorEastAsia" w:hAnsiTheme="minorHAnsi" w:cstheme="minorBidi"/>
            <w:noProof/>
            <w:kern w:val="2"/>
            <w:sz w:val="24"/>
            <w:szCs w:val="24"/>
            <w14:ligatures w14:val="standardContextual"/>
          </w:rPr>
          <w:tab/>
        </w:r>
        <w:r w:rsidRPr="007F2BE0">
          <w:rPr>
            <w:rStyle w:val="Hyperlink"/>
            <w:noProof/>
          </w:rPr>
          <w:t>How to report ADRs in Malta</w:t>
        </w:r>
        <w:r>
          <w:rPr>
            <w:noProof/>
            <w:webHidden/>
          </w:rPr>
          <w:tab/>
        </w:r>
        <w:r>
          <w:rPr>
            <w:noProof/>
            <w:webHidden/>
          </w:rPr>
          <w:fldChar w:fldCharType="begin"/>
        </w:r>
        <w:r>
          <w:rPr>
            <w:noProof/>
            <w:webHidden/>
          </w:rPr>
          <w:instrText xml:space="preserve"> PAGEREF _Toc236130007 \h </w:instrText>
        </w:r>
        <w:r>
          <w:rPr>
            <w:noProof/>
            <w:webHidden/>
          </w:rPr>
        </w:r>
        <w:r>
          <w:rPr>
            <w:noProof/>
            <w:webHidden/>
          </w:rPr>
          <w:fldChar w:fldCharType="separate"/>
        </w:r>
        <w:r>
          <w:rPr>
            <w:noProof/>
            <w:webHidden/>
          </w:rPr>
          <w:t>7</w:t>
        </w:r>
        <w:r>
          <w:rPr>
            <w:noProof/>
            <w:webHidden/>
          </w:rPr>
          <w:fldChar w:fldCharType="end"/>
        </w:r>
      </w:hyperlink>
    </w:p>
    <w:p w14:paraId="2B0C64A2" w14:textId="728FF28C" w:rsidR="004778D9" w:rsidRDefault="004778D9">
      <w:pPr>
        <w:pStyle w:val="TOC1"/>
        <w:rPr>
          <w:rFonts w:asciiTheme="minorHAnsi" w:eastAsiaTheme="minorEastAsia" w:hAnsiTheme="minorHAnsi" w:cstheme="minorBidi"/>
          <w:noProof/>
          <w:kern w:val="2"/>
          <w:sz w:val="24"/>
          <w:szCs w:val="24"/>
          <w14:ligatures w14:val="standardContextual"/>
        </w:rPr>
      </w:pPr>
      <w:hyperlink w:anchor="_Toc236130015" w:history="1">
        <w:r w:rsidRPr="007F2BE0">
          <w:rPr>
            <w:rStyle w:val="Hyperlink"/>
            <w:noProof/>
          </w:rPr>
          <w:t>7.</w:t>
        </w:r>
        <w:r>
          <w:rPr>
            <w:rFonts w:asciiTheme="minorHAnsi" w:eastAsiaTheme="minorEastAsia" w:hAnsiTheme="minorHAnsi" w:cstheme="minorBidi"/>
            <w:noProof/>
            <w:kern w:val="2"/>
            <w:sz w:val="24"/>
            <w:szCs w:val="24"/>
            <w14:ligatures w14:val="standardContextual"/>
          </w:rPr>
          <w:tab/>
        </w:r>
        <w:r w:rsidRPr="007F2BE0">
          <w:rPr>
            <w:rStyle w:val="Hyperlink"/>
            <w:noProof/>
          </w:rPr>
          <w:t>What happens after you report</w:t>
        </w:r>
        <w:r>
          <w:rPr>
            <w:noProof/>
            <w:webHidden/>
          </w:rPr>
          <w:tab/>
        </w:r>
        <w:r>
          <w:rPr>
            <w:noProof/>
            <w:webHidden/>
          </w:rPr>
          <w:fldChar w:fldCharType="begin"/>
        </w:r>
        <w:r>
          <w:rPr>
            <w:noProof/>
            <w:webHidden/>
          </w:rPr>
          <w:instrText xml:space="preserve"> PAGEREF _Toc236130015 \h </w:instrText>
        </w:r>
        <w:r>
          <w:rPr>
            <w:noProof/>
            <w:webHidden/>
          </w:rPr>
        </w:r>
        <w:r>
          <w:rPr>
            <w:noProof/>
            <w:webHidden/>
          </w:rPr>
          <w:fldChar w:fldCharType="separate"/>
        </w:r>
        <w:r>
          <w:rPr>
            <w:noProof/>
            <w:webHidden/>
          </w:rPr>
          <w:t>12</w:t>
        </w:r>
        <w:r>
          <w:rPr>
            <w:noProof/>
            <w:webHidden/>
          </w:rPr>
          <w:fldChar w:fldCharType="end"/>
        </w:r>
      </w:hyperlink>
    </w:p>
    <w:p w14:paraId="157D5A9E" w14:textId="479AB118" w:rsidR="004778D9" w:rsidRDefault="004778D9">
      <w:pPr>
        <w:pStyle w:val="TOC1"/>
        <w:rPr>
          <w:rFonts w:asciiTheme="minorHAnsi" w:eastAsiaTheme="minorEastAsia" w:hAnsiTheme="minorHAnsi" w:cstheme="minorBidi"/>
          <w:noProof/>
          <w:kern w:val="2"/>
          <w:sz w:val="24"/>
          <w:szCs w:val="24"/>
          <w14:ligatures w14:val="standardContextual"/>
        </w:rPr>
      </w:pPr>
      <w:hyperlink w:anchor="_Toc236130016" w:history="1">
        <w:r w:rsidRPr="007F2BE0">
          <w:rPr>
            <w:rStyle w:val="Hyperlink"/>
            <w:noProof/>
          </w:rPr>
          <w:t>8.</w:t>
        </w:r>
        <w:r>
          <w:rPr>
            <w:rFonts w:asciiTheme="minorHAnsi" w:eastAsiaTheme="minorEastAsia" w:hAnsiTheme="minorHAnsi" w:cstheme="minorBidi"/>
            <w:noProof/>
            <w:kern w:val="2"/>
            <w:sz w:val="24"/>
            <w:szCs w:val="24"/>
            <w14:ligatures w14:val="standardContextual"/>
          </w:rPr>
          <w:tab/>
        </w:r>
        <w:r w:rsidRPr="007F2BE0">
          <w:rPr>
            <w:rStyle w:val="Hyperlink"/>
            <w:noProof/>
          </w:rPr>
          <w:t>Safety communication and Risk Minimisation Measures</w:t>
        </w:r>
        <w:r>
          <w:rPr>
            <w:noProof/>
            <w:webHidden/>
          </w:rPr>
          <w:tab/>
        </w:r>
        <w:r>
          <w:rPr>
            <w:noProof/>
            <w:webHidden/>
          </w:rPr>
          <w:fldChar w:fldCharType="begin"/>
        </w:r>
        <w:r>
          <w:rPr>
            <w:noProof/>
            <w:webHidden/>
          </w:rPr>
          <w:instrText xml:space="preserve"> PAGEREF _Toc236130016 \h </w:instrText>
        </w:r>
        <w:r>
          <w:rPr>
            <w:noProof/>
            <w:webHidden/>
          </w:rPr>
        </w:r>
        <w:r>
          <w:rPr>
            <w:noProof/>
            <w:webHidden/>
          </w:rPr>
          <w:fldChar w:fldCharType="separate"/>
        </w:r>
        <w:r>
          <w:rPr>
            <w:noProof/>
            <w:webHidden/>
          </w:rPr>
          <w:t>13</w:t>
        </w:r>
        <w:r>
          <w:rPr>
            <w:noProof/>
            <w:webHidden/>
          </w:rPr>
          <w:fldChar w:fldCharType="end"/>
        </w:r>
      </w:hyperlink>
    </w:p>
    <w:p w14:paraId="050A28FB" w14:textId="5EA7F16B" w:rsidR="004778D9" w:rsidRDefault="004778D9">
      <w:pPr>
        <w:pStyle w:val="TOC1"/>
        <w:rPr>
          <w:rFonts w:asciiTheme="minorHAnsi" w:eastAsiaTheme="minorEastAsia" w:hAnsiTheme="minorHAnsi" w:cstheme="minorBidi"/>
          <w:noProof/>
          <w:kern w:val="2"/>
          <w:sz w:val="24"/>
          <w:szCs w:val="24"/>
          <w14:ligatures w14:val="standardContextual"/>
        </w:rPr>
      </w:pPr>
      <w:hyperlink w:anchor="_Toc236130017" w:history="1">
        <w:r w:rsidRPr="007F2BE0">
          <w:rPr>
            <w:rStyle w:val="Hyperlink"/>
            <w:noProof/>
          </w:rPr>
          <w:t>9.</w:t>
        </w:r>
        <w:r>
          <w:rPr>
            <w:rFonts w:asciiTheme="minorHAnsi" w:eastAsiaTheme="minorEastAsia" w:hAnsiTheme="minorHAnsi" w:cstheme="minorBidi"/>
            <w:noProof/>
            <w:kern w:val="2"/>
            <w:sz w:val="24"/>
            <w:szCs w:val="24"/>
            <w14:ligatures w14:val="standardContextual"/>
          </w:rPr>
          <w:tab/>
        </w:r>
        <w:r w:rsidRPr="007F2BE0">
          <w:rPr>
            <w:rStyle w:val="Hyperlink"/>
            <w:noProof/>
          </w:rPr>
          <w:t>Further guidance</w:t>
        </w:r>
        <w:r>
          <w:rPr>
            <w:noProof/>
            <w:webHidden/>
          </w:rPr>
          <w:tab/>
        </w:r>
        <w:r>
          <w:rPr>
            <w:noProof/>
            <w:webHidden/>
          </w:rPr>
          <w:fldChar w:fldCharType="begin"/>
        </w:r>
        <w:r>
          <w:rPr>
            <w:noProof/>
            <w:webHidden/>
          </w:rPr>
          <w:instrText xml:space="preserve"> PAGEREF _Toc236130017 \h </w:instrText>
        </w:r>
        <w:r>
          <w:rPr>
            <w:noProof/>
            <w:webHidden/>
          </w:rPr>
        </w:r>
        <w:r>
          <w:rPr>
            <w:noProof/>
            <w:webHidden/>
          </w:rPr>
          <w:fldChar w:fldCharType="separate"/>
        </w:r>
        <w:r>
          <w:rPr>
            <w:noProof/>
            <w:webHidden/>
          </w:rPr>
          <w:t>14</w:t>
        </w:r>
        <w:r>
          <w:rPr>
            <w:noProof/>
            <w:webHidden/>
          </w:rPr>
          <w:fldChar w:fldCharType="end"/>
        </w:r>
      </w:hyperlink>
    </w:p>
    <w:p w14:paraId="71D2E6E5" w14:textId="60035C5C" w:rsidR="004778D9" w:rsidRDefault="004778D9">
      <w:pPr>
        <w:pStyle w:val="TOC1"/>
        <w:tabs>
          <w:tab w:val="left" w:pos="720"/>
        </w:tabs>
        <w:rPr>
          <w:rFonts w:asciiTheme="minorHAnsi" w:eastAsiaTheme="minorEastAsia" w:hAnsiTheme="minorHAnsi" w:cstheme="minorBidi"/>
          <w:noProof/>
          <w:kern w:val="2"/>
          <w:sz w:val="24"/>
          <w:szCs w:val="24"/>
          <w14:ligatures w14:val="standardContextual"/>
        </w:rPr>
      </w:pPr>
      <w:hyperlink w:anchor="_Toc236130018" w:history="1">
        <w:r w:rsidRPr="007F2BE0">
          <w:rPr>
            <w:rStyle w:val="Hyperlink"/>
            <w:noProof/>
          </w:rPr>
          <w:t>10.</w:t>
        </w:r>
        <w:r>
          <w:rPr>
            <w:rFonts w:asciiTheme="minorHAnsi" w:eastAsiaTheme="minorEastAsia" w:hAnsiTheme="minorHAnsi" w:cstheme="minorBidi"/>
            <w:noProof/>
            <w:kern w:val="2"/>
            <w:sz w:val="24"/>
            <w:szCs w:val="24"/>
            <w14:ligatures w14:val="standardContextual"/>
          </w:rPr>
          <w:tab/>
        </w:r>
        <w:r w:rsidRPr="007F2BE0">
          <w:rPr>
            <w:rStyle w:val="Hyperlink"/>
            <w:noProof/>
          </w:rPr>
          <w:t>References</w:t>
        </w:r>
        <w:r>
          <w:rPr>
            <w:noProof/>
            <w:webHidden/>
          </w:rPr>
          <w:tab/>
        </w:r>
        <w:r>
          <w:rPr>
            <w:noProof/>
            <w:webHidden/>
          </w:rPr>
          <w:fldChar w:fldCharType="begin"/>
        </w:r>
        <w:r>
          <w:rPr>
            <w:noProof/>
            <w:webHidden/>
          </w:rPr>
          <w:instrText xml:space="preserve"> PAGEREF _Toc236130018 \h </w:instrText>
        </w:r>
        <w:r>
          <w:rPr>
            <w:noProof/>
            <w:webHidden/>
          </w:rPr>
        </w:r>
        <w:r>
          <w:rPr>
            <w:noProof/>
            <w:webHidden/>
          </w:rPr>
          <w:fldChar w:fldCharType="separate"/>
        </w:r>
        <w:r>
          <w:rPr>
            <w:noProof/>
            <w:webHidden/>
          </w:rPr>
          <w:t>14</w:t>
        </w:r>
        <w:r>
          <w:rPr>
            <w:noProof/>
            <w:webHidden/>
          </w:rPr>
          <w:fldChar w:fldCharType="end"/>
        </w:r>
      </w:hyperlink>
    </w:p>
    <w:p w14:paraId="553ED8F9" w14:textId="29AF05CB" w:rsidR="004522DD" w:rsidRPr="00F5497F" w:rsidRDefault="004522DD" w:rsidP="008105C2">
      <w:pPr>
        <w:tabs>
          <w:tab w:val="left" w:pos="426"/>
          <w:tab w:val="right" w:leader="dot" w:pos="9498"/>
        </w:tabs>
        <w:spacing w:after="120"/>
        <w:jc w:val="both"/>
        <w:rPr>
          <w:b/>
          <w:bCs/>
          <w:szCs w:val="24"/>
        </w:rPr>
      </w:pPr>
      <w:r w:rsidRPr="00F5497F">
        <w:rPr>
          <w:b/>
          <w:bCs/>
          <w:noProof/>
          <w:szCs w:val="24"/>
        </w:rPr>
        <w:fldChar w:fldCharType="end"/>
      </w:r>
    </w:p>
    <w:p w14:paraId="6716A2E5" w14:textId="77777777" w:rsidR="003C341C" w:rsidRPr="00F5497F" w:rsidRDefault="00D72092" w:rsidP="002202BA">
      <w:pPr>
        <w:pStyle w:val="Heading1"/>
        <w:numPr>
          <w:ilvl w:val="0"/>
          <w:numId w:val="102"/>
        </w:numPr>
        <w:spacing w:before="0" w:after="180"/>
        <w:ind w:left="425" w:hanging="425"/>
        <w:jc w:val="both"/>
        <w:rPr>
          <w:rStyle w:val="BookTitle"/>
          <w:rFonts w:ascii="Times New Roman" w:hAnsi="Times New Roman"/>
          <w:b/>
          <w:bCs/>
          <w:i w:val="0"/>
          <w:iCs w:val="0"/>
          <w:sz w:val="28"/>
          <w:szCs w:val="28"/>
        </w:rPr>
      </w:pPr>
      <w:r w:rsidRPr="00F5497F">
        <w:rPr>
          <w:rFonts w:ascii="Times New Roman" w:hAnsi="Times New Roman" w:cs="Times New Roman"/>
          <w:sz w:val="20"/>
          <w:szCs w:val="20"/>
        </w:rPr>
        <w:br w:type="page"/>
      </w:r>
      <w:bookmarkStart w:id="0" w:name="_Toc236129998"/>
      <w:r w:rsidR="006A52A8" w:rsidRPr="00F5497F">
        <w:rPr>
          <w:rStyle w:val="BookTitle"/>
          <w:rFonts w:ascii="Times New Roman" w:hAnsi="Times New Roman"/>
          <w:b/>
          <w:bCs/>
          <w:i w:val="0"/>
          <w:iCs w:val="0"/>
          <w:sz w:val="28"/>
          <w:szCs w:val="28"/>
        </w:rPr>
        <w:lastRenderedPageBreak/>
        <w:t>Introduction</w:t>
      </w:r>
      <w:bookmarkEnd w:id="0"/>
      <w:r w:rsidR="006A52A8" w:rsidRPr="00F5497F">
        <w:rPr>
          <w:rStyle w:val="BookTitle"/>
          <w:rFonts w:ascii="Times New Roman" w:hAnsi="Times New Roman"/>
          <w:b/>
          <w:bCs/>
          <w:i w:val="0"/>
          <w:iCs w:val="0"/>
          <w:sz w:val="28"/>
          <w:szCs w:val="28"/>
        </w:rPr>
        <w:t xml:space="preserve"> </w:t>
      </w:r>
    </w:p>
    <w:p w14:paraId="6A740E3F" w14:textId="41388057" w:rsidR="006D08B3" w:rsidRPr="00F5497F" w:rsidRDefault="00A17456" w:rsidP="009E1C4C">
      <w:pPr>
        <w:autoSpaceDE w:val="0"/>
        <w:autoSpaceDN w:val="0"/>
        <w:adjustRightInd w:val="0"/>
        <w:jc w:val="both"/>
        <w:rPr>
          <w:szCs w:val="24"/>
          <w:lang w:eastAsia="en-GB"/>
        </w:rPr>
      </w:pPr>
      <w:r w:rsidRPr="00F5497F">
        <w:rPr>
          <w:szCs w:val="24"/>
          <w:lang w:eastAsia="en-GB"/>
        </w:rPr>
        <w:t xml:space="preserve">The </w:t>
      </w:r>
      <w:r w:rsidR="002A5CE4" w:rsidRPr="00F5497F">
        <w:rPr>
          <w:szCs w:val="24"/>
          <w:lang w:eastAsia="en-GB"/>
        </w:rPr>
        <w:t>m</w:t>
      </w:r>
      <w:r w:rsidRPr="00F5497F">
        <w:rPr>
          <w:szCs w:val="24"/>
          <w:lang w:eastAsia="en-GB"/>
        </w:rPr>
        <w:t xml:space="preserve">ission of the </w:t>
      </w:r>
      <w:r w:rsidR="00831EF0" w:rsidRPr="00F5497F">
        <w:rPr>
          <w:szCs w:val="24"/>
          <w:lang w:eastAsia="en-GB"/>
        </w:rPr>
        <w:t xml:space="preserve">Malta </w:t>
      </w:r>
      <w:r w:rsidRPr="00F5497F">
        <w:rPr>
          <w:szCs w:val="24"/>
          <w:lang w:eastAsia="en-GB"/>
        </w:rPr>
        <w:t>Medicines Authority</w:t>
      </w:r>
      <w:r w:rsidR="006D08B3" w:rsidRPr="00F5497F">
        <w:rPr>
          <w:szCs w:val="24"/>
          <w:lang w:eastAsia="en-GB"/>
        </w:rPr>
        <w:t xml:space="preserve"> is to safeguard public health through the regulation of medical products and pharmaceutical activities for human use.</w:t>
      </w:r>
    </w:p>
    <w:p w14:paraId="015365AD" w14:textId="77777777" w:rsidR="00102C00" w:rsidRPr="00F5497F" w:rsidRDefault="00102C00" w:rsidP="009E1C4C">
      <w:pPr>
        <w:autoSpaceDE w:val="0"/>
        <w:autoSpaceDN w:val="0"/>
        <w:adjustRightInd w:val="0"/>
        <w:jc w:val="both"/>
        <w:rPr>
          <w:szCs w:val="24"/>
          <w:lang w:eastAsia="en-GB"/>
        </w:rPr>
      </w:pPr>
    </w:p>
    <w:p w14:paraId="777048B4" w14:textId="6D8C050F" w:rsidR="00102C00" w:rsidRPr="00F5497F" w:rsidRDefault="00240A6B" w:rsidP="009E1C4C">
      <w:pPr>
        <w:autoSpaceDE w:val="0"/>
        <w:autoSpaceDN w:val="0"/>
        <w:adjustRightInd w:val="0"/>
        <w:jc w:val="both"/>
        <w:rPr>
          <w:szCs w:val="24"/>
          <w:lang w:eastAsia="en-GB"/>
        </w:rPr>
      </w:pPr>
      <w:r w:rsidRPr="00F5497F">
        <w:rPr>
          <w:szCs w:val="24"/>
          <w:lang w:eastAsia="en-GB"/>
        </w:rPr>
        <w:t xml:space="preserve">The </w:t>
      </w:r>
      <w:r w:rsidR="00831EF0" w:rsidRPr="00F5497F">
        <w:rPr>
          <w:szCs w:val="24"/>
          <w:lang w:eastAsia="en-GB"/>
        </w:rPr>
        <w:t xml:space="preserve">Malta </w:t>
      </w:r>
      <w:r w:rsidRPr="00F5497F">
        <w:rPr>
          <w:szCs w:val="24"/>
          <w:lang w:eastAsia="en-GB"/>
        </w:rPr>
        <w:t xml:space="preserve">Medicines Authority </w:t>
      </w:r>
      <w:r w:rsidR="00892735" w:rsidRPr="00F5497F">
        <w:rPr>
          <w:szCs w:val="24"/>
          <w:lang w:eastAsia="en-GB"/>
        </w:rPr>
        <w:t xml:space="preserve">hereby also referred to as the Authority, </w:t>
      </w:r>
      <w:r w:rsidR="006E6355" w:rsidRPr="00F5497F">
        <w:rPr>
          <w:szCs w:val="24"/>
          <w:lang w:eastAsia="en-GB"/>
        </w:rPr>
        <w:t>is continually monitoring the safety of</w:t>
      </w:r>
      <w:r w:rsidRPr="00F5497F">
        <w:rPr>
          <w:szCs w:val="24"/>
          <w:lang w:eastAsia="en-GB"/>
        </w:rPr>
        <w:t xml:space="preserve"> </w:t>
      </w:r>
      <w:r w:rsidR="00C7214B" w:rsidRPr="00F5497F">
        <w:rPr>
          <w:szCs w:val="24"/>
          <w:lang w:eastAsia="en-GB"/>
        </w:rPr>
        <w:t xml:space="preserve">medicinal products </w:t>
      </w:r>
      <w:r w:rsidR="006D08B3" w:rsidRPr="00F5497F">
        <w:rPr>
          <w:szCs w:val="24"/>
          <w:lang w:eastAsia="en-GB"/>
        </w:rPr>
        <w:t xml:space="preserve">authorised </w:t>
      </w:r>
      <w:r w:rsidR="00C7214B" w:rsidRPr="00F5497F">
        <w:rPr>
          <w:szCs w:val="24"/>
          <w:lang w:eastAsia="en-GB"/>
        </w:rPr>
        <w:t xml:space="preserve">in Malta.  </w:t>
      </w:r>
      <w:r w:rsidR="00FB444D" w:rsidRPr="00F5497F">
        <w:rPr>
          <w:szCs w:val="24"/>
          <w:lang w:eastAsia="en-GB"/>
        </w:rPr>
        <w:t>The national s</w:t>
      </w:r>
      <w:r w:rsidR="00B72BB0" w:rsidRPr="00F5497F">
        <w:rPr>
          <w:szCs w:val="24"/>
          <w:lang w:eastAsia="en-GB"/>
        </w:rPr>
        <w:t>y</w:t>
      </w:r>
      <w:r w:rsidR="00FB444D" w:rsidRPr="00F5497F">
        <w:rPr>
          <w:szCs w:val="24"/>
          <w:lang w:eastAsia="en-GB"/>
        </w:rPr>
        <w:t xml:space="preserve">stem for adverse drug reaction (ADR) reporting is key for the Authority to be able to carry out this function.  </w:t>
      </w:r>
    </w:p>
    <w:p w14:paraId="29A21DB3" w14:textId="77777777" w:rsidR="00102C00" w:rsidRPr="00F5497F" w:rsidRDefault="00102C00" w:rsidP="009E1C4C">
      <w:pPr>
        <w:autoSpaceDE w:val="0"/>
        <w:autoSpaceDN w:val="0"/>
        <w:adjustRightInd w:val="0"/>
        <w:jc w:val="both"/>
        <w:rPr>
          <w:sz w:val="20"/>
        </w:rPr>
      </w:pPr>
    </w:p>
    <w:p w14:paraId="4B5A283B" w14:textId="4A1715E0" w:rsidR="00C7214B" w:rsidRPr="00F5497F" w:rsidRDefault="00B72BB0" w:rsidP="009E1C4C">
      <w:pPr>
        <w:autoSpaceDE w:val="0"/>
        <w:autoSpaceDN w:val="0"/>
        <w:adjustRightInd w:val="0"/>
        <w:jc w:val="both"/>
        <w:rPr>
          <w:szCs w:val="24"/>
          <w:lang w:eastAsia="en-GB"/>
        </w:rPr>
      </w:pPr>
      <w:bookmarkStart w:id="1" w:name="_Toc45802793"/>
      <w:r w:rsidRPr="00F5497F">
        <w:rPr>
          <w:szCs w:val="24"/>
          <w:lang w:eastAsia="en-GB"/>
        </w:rPr>
        <w:t xml:space="preserve">Healthcare professionals </w:t>
      </w:r>
      <w:r w:rsidR="00345CDF" w:rsidRPr="00F5497F">
        <w:rPr>
          <w:szCs w:val="24"/>
          <w:lang w:eastAsia="en-GB"/>
        </w:rPr>
        <w:t xml:space="preserve">(HCPs) </w:t>
      </w:r>
      <w:r w:rsidRPr="00F5497F">
        <w:rPr>
          <w:szCs w:val="24"/>
          <w:lang w:eastAsia="en-GB"/>
        </w:rPr>
        <w:t>play a pivotal role in</w:t>
      </w:r>
      <w:r w:rsidR="00C01A0A" w:rsidRPr="00F5497F">
        <w:rPr>
          <w:szCs w:val="24"/>
          <w:lang w:eastAsia="en-GB"/>
        </w:rPr>
        <w:t xml:space="preserve"> this system.</w:t>
      </w:r>
      <w:r w:rsidRPr="00F5497F">
        <w:rPr>
          <w:szCs w:val="24"/>
          <w:lang w:eastAsia="en-GB"/>
        </w:rPr>
        <w:t xml:space="preserve"> </w:t>
      </w:r>
      <w:r w:rsidR="00C01A0A" w:rsidRPr="00F5497F">
        <w:rPr>
          <w:szCs w:val="24"/>
          <w:lang w:eastAsia="en-GB"/>
        </w:rPr>
        <w:t>Reports submitted by HCPs are one of the most important sources of safety data and are essential for identifying new or changing safety issues. The observations</w:t>
      </w:r>
      <w:r w:rsidR="00027017" w:rsidRPr="00F5497F">
        <w:rPr>
          <w:szCs w:val="24"/>
          <w:lang w:eastAsia="en-GB"/>
        </w:rPr>
        <w:t xml:space="preserve"> of HCPs</w:t>
      </w:r>
      <w:r w:rsidR="00C01A0A" w:rsidRPr="00F5497F">
        <w:rPr>
          <w:szCs w:val="24"/>
          <w:lang w:eastAsia="en-GB"/>
        </w:rPr>
        <w:t xml:space="preserve"> in daily clinical practice</w:t>
      </w:r>
      <w:r w:rsidR="00027017" w:rsidRPr="00F5497F">
        <w:rPr>
          <w:szCs w:val="24"/>
          <w:lang w:eastAsia="en-GB"/>
        </w:rPr>
        <w:t>, and the willingness to report</w:t>
      </w:r>
      <w:r w:rsidR="00C01A0A" w:rsidRPr="00F5497F">
        <w:rPr>
          <w:szCs w:val="24"/>
          <w:lang w:eastAsia="en-GB"/>
        </w:rPr>
        <w:t xml:space="preserve"> can directly contribute to improving the safe use of medicines locally and across the European Union.</w:t>
      </w:r>
    </w:p>
    <w:p w14:paraId="5CC62EDB" w14:textId="77777777" w:rsidR="00FB444D" w:rsidRPr="00F5497F" w:rsidRDefault="00FB444D" w:rsidP="009E1C4C">
      <w:pPr>
        <w:autoSpaceDE w:val="0"/>
        <w:autoSpaceDN w:val="0"/>
        <w:adjustRightInd w:val="0"/>
        <w:jc w:val="both"/>
        <w:rPr>
          <w:sz w:val="20"/>
          <w:lang w:eastAsia="en-GB"/>
        </w:rPr>
      </w:pPr>
    </w:p>
    <w:p w14:paraId="3A007614" w14:textId="77777777" w:rsidR="00C01A0A" w:rsidRPr="00F5497F" w:rsidRDefault="00C01A0A" w:rsidP="009E1C4C">
      <w:pPr>
        <w:autoSpaceDE w:val="0"/>
        <w:autoSpaceDN w:val="0"/>
        <w:adjustRightInd w:val="0"/>
        <w:jc w:val="both"/>
        <w:rPr>
          <w:szCs w:val="24"/>
          <w:lang w:eastAsia="en-GB"/>
        </w:rPr>
      </w:pPr>
      <w:r w:rsidRPr="00F5497F">
        <w:rPr>
          <w:szCs w:val="24"/>
          <w:lang w:eastAsia="en-GB"/>
        </w:rPr>
        <w:t>To support this role, it is essential that all HCPs are familiar with:</w:t>
      </w:r>
    </w:p>
    <w:p w14:paraId="3EBEB408" w14:textId="77777777" w:rsidR="005E1973" w:rsidRPr="00F5497F" w:rsidRDefault="005E1973" w:rsidP="009E1C4C">
      <w:pPr>
        <w:autoSpaceDE w:val="0"/>
        <w:autoSpaceDN w:val="0"/>
        <w:adjustRightInd w:val="0"/>
        <w:jc w:val="both"/>
        <w:rPr>
          <w:sz w:val="20"/>
          <w:lang w:eastAsia="en-GB"/>
        </w:rPr>
      </w:pPr>
    </w:p>
    <w:p w14:paraId="36FC0ED1" w14:textId="66F01050" w:rsidR="00C01A0A" w:rsidRPr="00F5497F" w:rsidRDefault="00822877" w:rsidP="009E1C4C">
      <w:pPr>
        <w:numPr>
          <w:ilvl w:val="0"/>
          <w:numId w:val="37"/>
        </w:numPr>
        <w:autoSpaceDE w:val="0"/>
        <w:autoSpaceDN w:val="0"/>
        <w:adjustRightInd w:val="0"/>
        <w:jc w:val="both"/>
        <w:rPr>
          <w:szCs w:val="24"/>
          <w:lang w:eastAsia="en-GB"/>
        </w:rPr>
      </w:pPr>
      <w:r w:rsidRPr="00F5497F">
        <w:rPr>
          <w:szCs w:val="24"/>
          <w:lang w:eastAsia="en-GB"/>
        </w:rPr>
        <w:t>H</w:t>
      </w:r>
      <w:r w:rsidR="00C01A0A" w:rsidRPr="00F5497F">
        <w:rPr>
          <w:szCs w:val="24"/>
          <w:lang w:eastAsia="en-GB"/>
        </w:rPr>
        <w:t>ow to report suspected adverse drug reactions in Malta.</w:t>
      </w:r>
    </w:p>
    <w:p w14:paraId="44BCA4A0" w14:textId="30F922C0" w:rsidR="00822877" w:rsidRPr="00F5497F" w:rsidRDefault="00822877" w:rsidP="009E1C4C">
      <w:pPr>
        <w:numPr>
          <w:ilvl w:val="0"/>
          <w:numId w:val="37"/>
        </w:numPr>
        <w:autoSpaceDE w:val="0"/>
        <w:autoSpaceDN w:val="0"/>
        <w:adjustRightInd w:val="0"/>
        <w:jc w:val="both"/>
        <w:rPr>
          <w:szCs w:val="24"/>
          <w:lang w:eastAsia="en-GB"/>
        </w:rPr>
      </w:pPr>
      <w:r w:rsidRPr="00F5497F">
        <w:rPr>
          <w:szCs w:val="24"/>
          <w:lang w:eastAsia="en-GB"/>
        </w:rPr>
        <w:t>Why reporting suspected adverse drug reactions is important</w:t>
      </w:r>
    </w:p>
    <w:p w14:paraId="7ED12A9C" w14:textId="77777777" w:rsidR="00893E99" w:rsidRPr="00F5497F" w:rsidRDefault="00893E99" w:rsidP="009E1C4C">
      <w:pPr>
        <w:autoSpaceDE w:val="0"/>
        <w:autoSpaceDN w:val="0"/>
        <w:adjustRightInd w:val="0"/>
        <w:jc w:val="both"/>
        <w:rPr>
          <w:sz w:val="20"/>
          <w:lang w:eastAsia="en-GB"/>
        </w:rPr>
      </w:pPr>
    </w:p>
    <w:p w14:paraId="395C95D6" w14:textId="77777777" w:rsidR="00742067" w:rsidRPr="00F5497F" w:rsidRDefault="004D565C" w:rsidP="00F5497F">
      <w:pPr>
        <w:pStyle w:val="Heading1"/>
        <w:numPr>
          <w:ilvl w:val="0"/>
          <w:numId w:val="102"/>
        </w:numPr>
        <w:spacing w:after="180"/>
        <w:ind w:left="425" w:hanging="425"/>
        <w:jc w:val="both"/>
        <w:rPr>
          <w:rStyle w:val="BookTitle"/>
          <w:rFonts w:ascii="Times New Roman" w:hAnsi="Times New Roman"/>
          <w:b/>
          <w:i w:val="0"/>
          <w:sz w:val="28"/>
        </w:rPr>
      </w:pPr>
      <w:bookmarkStart w:id="2" w:name="_Toc236129999"/>
      <w:r w:rsidRPr="00F5497F">
        <w:rPr>
          <w:rStyle w:val="BookTitle"/>
          <w:rFonts w:ascii="Times New Roman" w:hAnsi="Times New Roman"/>
          <w:b/>
          <w:i w:val="0"/>
          <w:sz w:val="28"/>
        </w:rPr>
        <w:t>Scope</w:t>
      </w:r>
      <w:bookmarkEnd w:id="1"/>
      <w:bookmarkEnd w:id="2"/>
    </w:p>
    <w:p w14:paraId="2FED13A0" w14:textId="0BE2D89A" w:rsidR="007B73A9" w:rsidRPr="00F5497F" w:rsidRDefault="007B73A9" w:rsidP="009E1C4C">
      <w:pPr>
        <w:autoSpaceDE w:val="0"/>
        <w:autoSpaceDN w:val="0"/>
        <w:adjustRightInd w:val="0"/>
        <w:jc w:val="both"/>
        <w:rPr>
          <w:rFonts w:eastAsia="MS Mincho"/>
          <w:szCs w:val="24"/>
          <w:lang w:val="en-US"/>
        </w:rPr>
      </w:pPr>
      <w:r w:rsidRPr="00F5497F">
        <w:rPr>
          <w:lang w:val="en-US"/>
        </w:rPr>
        <w:t xml:space="preserve">This document </w:t>
      </w:r>
      <w:r w:rsidRPr="00F5497F">
        <w:rPr>
          <w:rFonts w:eastAsia="MS Mincho"/>
          <w:szCs w:val="24"/>
          <w:lang w:val="en-US"/>
        </w:rPr>
        <w:t>provides practical</w:t>
      </w:r>
      <w:r w:rsidRPr="00F5497F">
        <w:rPr>
          <w:lang w:val="en-US"/>
        </w:rPr>
        <w:t xml:space="preserve"> guidance </w:t>
      </w:r>
      <w:r w:rsidRPr="00F5497F">
        <w:rPr>
          <w:rFonts w:eastAsia="MS Mincho"/>
          <w:szCs w:val="24"/>
          <w:lang w:val="en-US"/>
        </w:rPr>
        <w:t>for</w:t>
      </w:r>
      <w:r w:rsidRPr="00F5497F">
        <w:rPr>
          <w:lang w:val="en-US"/>
        </w:rPr>
        <w:t xml:space="preserve"> healthcare professionals </w:t>
      </w:r>
      <w:r w:rsidRPr="00F5497F">
        <w:rPr>
          <w:rFonts w:eastAsia="MS Mincho"/>
          <w:szCs w:val="24"/>
          <w:lang w:val="en-US"/>
        </w:rPr>
        <w:t>on:</w:t>
      </w:r>
    </w:p>
    <w:p w14:paraId="3516B5A5" w14:textId="77777777" w:rsidR="00790C22" w:rsidRPr="00F5497F" w:rsidRDefault="00790C22" w:rsidP="009E1C4C">
      <w:pPr>
        <w:autoSpaceDE w:val="0"/>
        <w:autoSpaceDN w:val="0"/>
        <w:adjustRightInd w:val="0"/>
        <w:jc w:val="both"/>
        <w:rPr>
          <w:rFonts w:eastAsia="MS Mincho"/>
          <w:szCs w:val="24"/>
          <w:lang w:val="en-US"/>
        </w:rPr>
      </w:pPr>
    </w:p>
    <w:p w14:paraId="43435096" w14:textId="77777777" w:rsidR="007B73A9" w:rsidRPr="00F5497F" w:rsidRDefault="007B73A9" w:rsidP="009E1C4C">
      <w:pPr>
        <w:numPr>
          <w:ilvl w:val="0"/>
          <w:numId w:val="42"/>
        </w:numPr>
        <w:autoSpaceDE w:val="0"/>
        <w:autoSpaceDN w:val="0"/>
        <w:adjustRightInd w:val="0"/>
        <w:jc w:val="both"/>
        <w:rPr>
          <w:rFonts w:eastAsia="MS Mincho"/>
          <w:szCs w:val="24"/>
          <w:lang w:val="en-US"/>
        </w:rPr>
      </w:pPr>
      <w:r w:rsidRPr="00F5497F">
        <w:rPr>
          <w:rFonts w:eastAsia="MS Mincho"/>
          <w:szCs w:val="24"/>
          <w:lang w:val="en-US"/>
        </w:rPr>
        <w:t>the principles of adverse drug reaction reporting,</w:t>
      </w:r>
    </w:p>
    <w:p w14:paraId="08775593" w14:textId="189C41BF" w:rsidR="007B73A9" w:rsidRPr="00F5497F" w:rsidRDefault="007B73A9" w:rsidP="00F5497F">
      <w:pPr>
        <w:numPr>
          <w:ilvl w:val="0"/>
          <w:numId w:val="42"/>
        </w:numPr>
        <w:autoSpaceDE w:val="0"/>
        <w:autoSpaceDN w:val="0"/>
        <w:adjustRightInd w:val="0"/>
        <w:jc w:val="both"/>
        <w:rPr>
          <w:lang w:val="en-US"/>
        </w:rPr>
      </w:pPr>
      <w:r w:rsidRPr="00F5497F">
        <w:rPr>
          <w:lang w:val="en-US"/>
        </w:rPr>
        <w:t xml:space="preserve">the local ADR reporting process </w:t>
      </w:r>
      <w:r w:rsidRPr="00F5497F">
        <w:rPr>
          <w:rFonts w:eastAsia="MS Mincho"/>
          <w:szCs w:val="24"/>
          <w:lang w:val="en-US"/>
        </w:rPr>
        <w:t>in Malta, and</w:t>
      </w:r>
    </w:p>
    <w:p w14:paraId="651A9C07" w14:textId="519D9B27" w:rsidR="007B73A9" w:rsidRPr="00F5497F" w:rsidRDefault="007B73A9" w:rsidP="009E1C4C">
      <w:pPr>
        <w:numPr>
          <w:ilvl w:val="0"/>
          <w:numId w:val="42"/>
        </w:numPr>
        <w:autoSpaceDE w:val="0"/>
        <w:autoSpaceDN w:val="0"/>
        <w:adjustRightInd w:val="0"/>
        <w:jc w:val="both"/>
        <w:rPr>
          <w:rFonts w:eastAsia="MS Mincho"/>
          <w:szCs w:val="24"/>
          <w:lang w:val="en-US"/>
        </w:rPr>
      </w:pPr>
      <w:r w:rsidRPr="00F5497F">
        <w:rPr>
          <w:rFonts w:eastAsia="MS Mincho"/>
          <w:szCs w:val="24"/>
          <w:lang w:val="en-US"/>
        </w:rPr>
        <w:t xml:space="preserve">the </w:t>
      </w:r>
      <w:r w:rsidR="005E1973" w:rsidRPr="00F5497F">
        <w:rPr>
          <w:lang w:val="en-US"/>
        </w:rPr>
        <w:t>importance</w:t>
      </w:r>
      <w:r w:rsidRPr="00F5497F">
        <w:rPr>
          <w:lang w:val="en-US"/>
        </w:rPr>
        <w:t xml:space="preserve"> of reporting </w:t>
      </w:r>
      <w:r w:rsidRPr="00F5497F">
        <w:rPr>
          <w:rFonts w:eastAsia="MS Mincho"/>
          <w:szCs w:val="24"/>
          <w:lang w:val="en-US"/>
        </w:rPr>
        <w:t>within the wider EU pharmacovigilance system.</w:t>
      </w:r>
    </w:p>
    <w:p w14:paraId="48E09827" w14:textId="77777777" w:rsidR="005E1973" w:rsidRPr="00F5497F" w:rsidRDefault="005E1973" w:rsidP="002202BA">
      <w:pPr>
        <w:autoSpaceDE w:val="0"/>
        <w:autoSpaceDN w:val="0"/>
        <w:adjustRightInd w:val="0"/>
        <w:spacing w:before="120"/>
        <w:jc w:val="both"/>
        <w:rPr>
          <w:rFonts w:eastAsia="MS Mincho"/>
          <w:sz w:val="20"/>
          <w:lang w:val="en-US"/>
        </w:rPr>
      </w:pPr>
    </w:p>
    <w:p w14:paraId="6B39E150" w14:textId="77777777" w:rsidR="009B64B3" w:rsidRPr="00F5497F" w:rsidRDefault="007B73A9" w:rsidP="00F5497F">
      <w:pPr>
        <w:autoSpaceDE w:val="0"/>
        <w:autoSpaceDN w:val="0"/>
        <w:adjustRightInd w:val="0"/>
        <w:spacing w:before="120"/>
        <w:jc w:val="both"/>
        <w:rPr>
          <w:lang w:val="en-US"/>
        </w:rPr>
      </w:pPr>
      <w:r w:rsidRPr="00F5497F">
        <w:rPr>
          <w:rFonts w:eastAsia="MS Mincho"/>
          <w:szCs w:val="24"/>
          <w:lang w:val="en-US"/>
        </w:rPr>
        <w:t>The guidance applies to suspected</w:t>
      </w:r>
      <w:r w:rsidRPr="00F5497F">
        <w:rPr>
          <w:lang w:val="en-US"/>
        </w:rPr>
        <w:t xml:space="preserve"> adverse drug reactions</w:t>
      </w:r>
      <w:r w:rsidRPr="00F5497F">
        <w:rPr>
          <w:rFonts w:eastAsia="MS Mincho"/>
          <w:szCs w:val="24"/>
          <w:lang w:val="en-US"/>
        </w:rPr>
        <w:t xml:space="preserve"> involving all medicinal products </w:t>
      </w:r>
      <w:proofErr w:type="spellStart"/>
      <w:r w:rsidRPr="00F5497F">
        <w:rPr>
          <w:rFonts w:eastAsia="MS Mincho"/>
          <w:szCs w:val="24"/>
          <w:lang w:val="en-US"/>
        </w:rPr>
        <w:t>authorised</w:t>
      </w:r>
      <w:proofErr w:type="spellEnd"/>
      <w:r w:rsidRPr="00F5497F">
        <w:rPr>
          <w:rFonts w:eastAsia="MS Mincho"/>
          <w:szCs w:val="24"/>
          <w:lang w:val="en-US"/>
        </w:rPr>
        <w:t xml:space="preserve"> or used in Malta</w:t>
      </w:r>
      <w:r w:rsidRPr="00F5497F">
        <w:rPr>
          <w:lang w:val="en-US"/>
        </w:rPr>
        <w:t>.</w:t>
      </w:r>
      <w:bookmarkStart w:id="3" w:name="_Toc454543982"/>
    </w:p>
    <w:p w14:paraId="2685AF67" w14:textId="4E8B0337" w:rsidR="005E1973" w:rsidRPr="00F5497F" w:rsidRDefault="005E1973" w:rsidP="002202BA">
      <w:pPr>
        <w:autoSpaceDE w:val="0"/>
        <w:autoSpaceDN w:val="0"/>
        <w:adjustRightInd w:val="0"/>
        <w:spacing w:before="120"/>
        <w:jc w:val="both"/>
        <w:rPr>
          <w:sz w:val="20"/>
          <w:lang w:eastAsia="en-GB"/>
        </w:rPr>
      </w:pPr>
      <w:bookmarkStart w:id="4" w:name="_Toc45802794"/>
    </w:p>
    <w:p w14:paraId="71A6C746" w14:textId="77777777" w:rsidR="00742067" w:rsidRPr="00F5497F" w:rsidRDefault="00CB12CC" w:rsidP="00F5497F">
      <w:pPr>
        <w:pStyle w:val="Heading1"/>
        <w:numPr>
          <w:ilvl w:val="0"/>
          <w:numId w:val="102"/>
        </w:numPr>
        <w:spacing w:after="240"/>
        <w:ind w:left="426" w:hanging="426"/>
        <w:jc w:val="both"/>
        <w:rPr>
          <w:rFonts w:ascii="Times New Roman" w:hAnsi="Times New Roman" w:cs="Times New Roman"/>
        </w:rPr>
      </w:pPr>
      <w:bookmarkStart w:id="5" w:name="_Toc236130000"/>
      <w:r w:rsidRPr="00F5497F">
        <w:rPr>
          <w:rStyle w:val="BookTitle"/>
          <w:rFonts w:ascii="Times New Roman" w:hAnsi="Times New Roman"/>
          <w:b/>
          <w:i w:val="0"/>
          <w:sz w:val="28"/>
        </w:rPr>
        <w:t>Abbreviations</w:t>
      </w:r>
      <w:r w:rsidRPr="00F5497F">
        <w:rPr>
          <w:rFonts w:ascii="Times New Roman" w:hAnsi="Times New Roman" w:cs="Times New Roman"/>
          <w:sz w:val="28"/>
        </w:rPr>
        <w:t xml:space="preserve"> and Definitions</w:t>
      </w:r>
      <w:bookmarkEnd w:id="3"/>
      <w:bookmarkEnd w:id="4"/>
      <w:bookmarkEnd w:id="5"/>
    </w:p>
    <w:p w14:paraId="2637C5DD" w14:textId="46072B00" w:rsidR="00742067" w:rsidRPr="00F5497F" w:rsidRDefault="00CB12CC" w:rsidP="00F5497F">
      <w:pPr>
        <w:pStyle w:val="Heading1"/>
        <w:numPr>
          <w:ilvl w:val="1"/>
          <w:numId w:val="102"/>
        </w:numPr>
        <w:tabs>
          <w:tab w:val="left" w:pos="567"/>
        </w:tabs>
        <w:spacing w:after="180"/>
        <w:ind w:left="567" w:hanging="567"/>
        <w:jc w:val="both"/>
        <w:rPr>
          <w:rFonts w:ascii="Times New Roman" w:hAnsi="Times New Roman" w:cs="Times New Roman"/>
          <w:sz w:val="26"/>
        </w:rPr>
      </w:pPr>
      <w:bookmarkStart w:id="6" w:name="_Toc454543983"/>
      <w:bookmarkStart w:id="7" w:name="_Toc229133519"/>
      <w:bookmarkStart w:id="8" w:name="_Toc229574375"/>
      <w:bookmarkStart w:id="9" w:name="_Toc236130001"/>
      <w:r w:rsidRPr="00F5497F">
        <w:rPr>
          <w:rFonts w:ascii="Times New Roman" w:hAnsi="Times New Roman" w:cs="Times New Roman"/>
          <w:sz w:val="26"/>
        </w:rPr>
        <w:t>Abbreviations</w:t>
      </w:r>
      <w:bookmarkEnd w:id="6"/>
      <w:bookmarkEnd w:id="7"/>
      <w:bookmarkEnd w:id="8"/>
      <w:bookmarkEnd w:id="9"/>
    </w:p>
    <w:p w14:paraId="026A5D30" w14:textId="1C09668F" w:rsidR="00027017" w:rsidRPr="00F5497F" w:rsidRDefault="00027017" w:rsidP="00F5497F">
      <w:pPr>
        <w:jc w:val="both"/>
      </w:pPr>
      <w:r w:rsidRPr="00F5497F">
        <w:t>AE</w:t>
      </w:r>
      <w:r w:rsidRPr="00F5497F">
        <w:tab/>
      </w:r>
      <w:r w:rsidRPr="00F5497F">
        <w:tab/>
        <w:t>Adverse Event</w:t>
      </w:r>
    </w:p>
    <w:p w14:paraId="4585A166" w14:textId="2FB04156" w:rsidR="00027017" w:rsidRPr="00F5497F" w:rsidRDefault="00027017" w:rsidP="00F5497F">
      <w:pPr>
        <w:jc w:val="both"/>
      </w:pPr>
      <w:r w:rsidRPr="00F5497F">
        <w:t>ADR</w:t>
      </w:r>
      <w:r w:rsidRPr="00F5497F">
        <w:tab/>
      </w:r>
      <w:r w:rsidRPr="00F5497F">
        <w:tab/>
        <w:t>Adverse Drug Reaction</w:t>
      </w:r>
    </w:p>
    <w:p w14:paraId="328DB148" w14:textId="513D1E53" w:rsidR="00027017" w:rsidRPr="00F5497F" w:rsidRDefault="00027017" w:rsidP="00F5497F">
      <w:pPr>
        <w:jc w:val="both"/>
      </w:pPr>
      <w:r w:rsidRPr="00F5497F">
        <w:t>DHPC</w:t>
      </w:r>
      <w:r w:rsidRPr="00F5497F">
        <w:tab/>
      </w:r>
      <w:r w:rsidRPr="00F5497F">
        <w:tab/>
        <w:t>Direct Healthcare Professional Communication</w:t>
      </w:r>
    </w:p>
    <w:p w14:paraId="00D6DEDE" w14:textId="30C13131" w:rsidR="00027017" w:rsidRPr="00F5497F" w:rsidRDefault="00027017" w:rsidP="00F5497F">
      <w:pPr>
        <w:jc w:val="both"/>
      </w:pPr>
      <w:r w:rsidRPr="00F5497F">
        <w:t>EMA</w:t>
      </w:r>
      <w:r w:rsidRPr="00F5497F">
        <w:tab/>
      </w:r>
      <w:r w:rsidRPr="00F5497F">
        <w:tab/>
        <w:t>European Medicines Agency</w:t>
      </w:r>
    </w:p>
    <w:p w14:paraId="4E30979B" w14:textId="7E88F2DF" w:rsidR="00027017" w:rsidRPr="00F5497F" w:rsidRDefault="00027017" w:rsidP="00F5497F">
      <w:pPr>
        <w:jc w:val="both"/>
      </w:pPr>
      <w:r w:rsidRPr="00F5497F">
        <w:t>EV</w:t>
      </w:r>
      <w:r w:rsidRPr="00F5497F">
        <w:tab/>
      </w:r>
      <w:r w:rsidRPr="00F5497F">
        <w:tab/>
        <w:t>EudraVigilance</w:t>
      </w:r>
    </w:p>
    <w:p w14:paraId="3934EE8D" w14:textId="66DA5F8D" w:rsidR="00027017" w:rsidRPr="00F5497F" w:rsidRDefault="00027017" w:rsidP="00F5497F">
      <w:pPr>
        <w:jc w:val="both"/>
      </w:pPr>
      <w:r w:rsidRPr="00F5497F">
        <w:t>HCP</w:t>
      </w:r>
      <w:r w:rsidRPr="00F5497F">
        <w:tab/>
      </w:r>
      <w:r w:rsidRPr="00F5497F">
        <w:tab/>
        <w:t>Healthcare Professional</w:t>
      </w:r>
    </w:p>
    <w:p w14:paraId="3EB062FA" w14:textId="62909EE1" w:rsidR="00027017" w:rsidRPr="00F5497F" w:rsidRDefault="00027017" w:rsidP="00F5497F">
      <w:pPr>
        <w:jc w:val="both"/>
      </w:pPr>
      <w:r w:rsidRPr="00F5497F">
        <w:t>ICSR</w:t>
      </w:r>
      <w:r w:rsidRPr="00F5497F">
        <w:tab/>
      </w:r>
      <w:r w:rsidRPr="00F5497F">
        <w:tab/>
        <w:t>Individual Case Safety Report</w:t>
      </w:r>
    </w:p>
    <w:p w14:paraId="0FD1DCCD" w14:textId="612C04D7" w:rsidR="00027017" w:rsidRPr="00F5497F" w:rsidRDefault="00027017" w:rsidP="00F5497F">
      <w:pPr>
        <w:jc w:val="both"/>
      </w:pPr>
      <w:r w:rsidRPr="00F5497F">
        <w:t>MA</w:t>
      </w:r>
      <w:r w:rsidRPr="00F5497F">
        <w:tab/>
      </w:r>
      <w:r w:rsidRPr="00F5497F">
        <w:tab/>
        <w:t>Marketing Authorisation</w:t>
      </w:r>
    </w:p>
    <w:p w14:paraId="01105EFF" w14:textId="70C2838B" w:rsidR="00027017" w:rsidRPr="00F5497F" w:rsidRDefault="00027017" w:rsidP="00F5497F">
      <w:pPr>
        <w:jc w:val="both"/>
      </w:pPr>
      <w:r w:rsidRPr="00F5497F">
        <w:t>MAH</w:t>
      </w:r>
      <w:r w:rsidRPr="00F5497F">
        <w:tab/>
      </w:r>
      <w:r w:rsidRPr="00F5497F">
        <w:tab/>
        <w:t>Marketing Authorisation Holder</w:t>
      </w:r>
    </w:p>
    <w:p w14:paraId="6C190ACA" w14:textId="238144A6" w:rsidR="00027017" w:rsidRPr="00F5497F" w:rsidRDefault="00027017" w:rsidP="00F5497F">
      <w:pPr>
        <w:jc w:val="both"/>
      </w:pPr>
      <w:r w:rsidRPr="00F5497F">
        <w:t>ME</w:t>
      </w:r>
      <w:r w:rsidRPr="00F5497F">
        <w:tab/>
      </w:r>
      <w:r w:rsidRPr="00F5497F">
        <w:tab/>
        <w:t>Medication Error</w:t>
      </w:r>
    </w:p>
    <w:p w14:paraId="17BFE365" w14:textId="5C342587" w:rsidR="00027017" w:rsidRPr="00F5497F" w:rsidRDefault="00027017" w:rsidP="00F5497F">
      <w:pPr>
        <w:jc w:val="both"/>
      </w:pPr>
      <w:r w:rsidRPr="00F5497F">
        <w:t>PRAC</w:t>
      </w:r>
      <w:r w:rsidRPr="00F5497F">
        <w:tab/>
      </w:r>
      <w:r w:rsidRPr="00F5497F">
        <w:tab/>
        <w:t>Pharmacovigilance Risk Assessment Committee</w:t>
      </w:r>
    </w:p>
    <w:p w14:paraId="37834A05" w14:textId="11B297E8" w:rsidR="00027017" w:rsidRPr="00F5497F" w:rsidRDefault="00027017" w:rsidP="00F5497F">
      <w:pPr>
        <w:jc w:val="both"/>
      </w:pPr>
      <w:r w:rsidRPr="00F5497F">
        <w:t>RMM</w:t>
      </w:r>
      <w:r w:rsidRPr="00F5497F">
        <w:tab/>
      </w:r>
      <w:r w:rsidRPr="00F5497F">
        <w:tab/>
        <w:t>Risk Minimisation Measure</w:t>
      </w:r>
    </w:p>
    <w:p w14:paraId="0162BC8B" w14:textId="0B7A49B2" w:rsidR="002C6763" w:rsidRPr="00F5497F" w:rsidRDefault="00027017" w:rsidP="00F5497F">
      <w:pPr>
        <w:jc w:val="both"/>
      </w:pPr>
      <w:r w:rsidRPr="00F5497F">
        <w:t>SmPC</w:t>
      </w:r>
      <w:r w:rsidRPr="00F5497F">
        <w:tab/>
      </w:r>
      <w:r w:rsidRPr="00F5497F">
        <w:tab/>
        <w:t>Summary of Product Characteristics</w:t>
      </w:r>
    </w:p>
    <w:p w14:paraId="43E7D253" w14:textId="116EB46D" w:rsidR="00CB12CC" w:rsidRPr="00F5497F" w:rsidRDefault="00CB12CC" w:rsidP="00F5497F">
      <w:pPr>
        <w:pStyle w:val="Heading1"/>
        <w:numPr>
          <w:ilvl w:val="1"/>
          <w:numId w:val="102"/>
        </w:numPr>
        <w:tabs>
          <w:tab w:val="left" w:pos="567"/>
        </w:tabs>
        <w:spacing w:after="0"/>
        <w:ind w:left="567" w:hanging="567"/>
        <w:jc w:val="both"/>
        <w:rPr>
          <w:rFonts w:ascii="Times New Roman" w:hAnsi="Times New Roman" w:cs="Times New Roman"/>
          <w:sz w:val="26"/>
        </w:rPr>
      </w:pPr>
      <w:bookmarkStart w:id="10" w:name="_Toc454543984"/>
      <w:bookmarkStart w:id="11" w:name="_Toc229133520"/>
      <w:bookmarkStart w:id="12" w:name="_Toc229574376"/>
      <w:bookmarkStart w:id="13" w:name="_Toc236130002"/>
      <w:r w:rsidRPr="00F5497F">
        <w:rPr>
          <w:rFonts w:ascii="Times New Roman" w:hAnsi="Times New Roman" w:cs="Times New Roman"/>
          <w:sz w:val="26"/>
        </w:rPr>
        <w:lastRenderedPageBreak/>
        <w:t>Definitions</w:t>
      </w:r>
      <w:bookmarkEnd w:id="10"/>
      <w:bookmarkEnd w:id="11"/>
      <w:bookmarkEnd w:id="12"/>
      <w:bookmarkEnd w:id="13"/>
    </w:p>
    <w:p w14:paraId="2F7C8BFA" w14:textId="77777777" w:rsidR="00CB12CC" w:rsidRPr="00F5497F" w:rsidRDefault="00CB12CC" w:rsidP="009E1C4C">
      <w:pPr>
        <w:jc w:val="both"/>
      </w:pPr>
    </w:p>
    <w:p w14:paraId="5812C23F" w14:textId="5F0C80DA" w:rsidR="00705B71" w:rsidRPr="00F5497F" w:rsidRDefault="00DF6B67" w:rsidP="00F5497F">
      <w:pPr>
        <w:pStyle w:val="Heading4"/>
        <w:spacing w:after="120"/>
        <w:ind w:left="0"/>
        <w:jc w:val="both"/>
      </w:pPr>
      <w:r w:rsidRPr="00F5497F">
        <w:t>Adverse</w:t>
      </w:r>
      <w:r w:rsidR="00940233" w:rsidRPr="00F5497F">
        <w:t xml:space="preserve"> Reaction </w:t>
      </w:r>
    </w:p>
    <w:p w14:paraId="62B2CF37" w14:textId="576A97EF" w:rsidR="001C4B1F" w:rsidRPr="00F5497F" w:rsidRDefault="001C4B1F" w:rsidP="001C4B1F">
      <w:r w:rsidRPr="00F5497F">
        <w:t>Synonyms: Adverse drug reaction (ADR), Suspected adverse (drug) reaction, Adverse effect, Undesirable effect.</w:t>
      </w:r>
    </w:p>
    <w:p w14:paraId="00C45324" w14:textId="77777777" w:rsidR="001C4B1F" w:rsidRPr="00F5497F" w:rsidRDefault="001C4B1F" w:rsidP="001C4B1F"/>
    <w:p w14:paraId="06B63D9C" w14:textId="13AC0BBA" w:rsidR="001C4B1F" w:rsidRPr="00F5497F" w:rsidRDefault="001C4B1F" w:rsidP="00F5497F">
      <w:r w:rsidRPr="00F5497F">
        <w:rPr>
          <w:b/>
        </w:rPr>
        <w:t xml:space="preserve">A </w:t>
      </w:r>
      <w:r w:rsidRPr="00F5497F">
        <w:rPr>
          <w:b/>
          <w:bCs/>
        </w:rPr>
        <w:t>response</w:t>
      </w:r>
      <w:r w:rsidRPr="00F5497F">
        <w:rPr>
          <w:b/>
        </w:rPr>
        <w:t xml:space="preserve"> to a medicinal product which is noxious and unintended</w:t>
      </w:r>
      <w:r w:rsidRPr="00F5497F">
        <w:t xml:space="preserve"> [</w:t>
      </w:r>
      <w:hyperlink r:id="rId12" w:history="1">
        <w:r w:rsidRPr="00F5497F">
          <w:rPr>
            <w:rStyle w:val="Hyperlink"/>
          </w:rPr>
          <w:t>DIR 2001/83/EC Art 1(11)</w:t>
        </w:r>
      </w:hyperlink>
      <w:r w:rsidRPr="00F5497F">
        <w:t>]</w:t>
      </w:r>
    </w:p>
    <w:p w14:paraId="18663FA0" w14:textId="77777777" w:rsidR="001C4B1F" w:rsidRPr="00F5497F" w:rsidRDefault="001C4B1F" w:rsidP="00F5497F"/>
    <w:p w14:paraId="25A393B6" w14:textId="1CA53A60" w:rsidR="0003081B" w:rsidRPr="00F5497F" w:rsidRDefault="001C4B1F" w:rsidP="001C4B1F">
      <w:r w:rsidRPr="00F5497F">
        <w:t xml:space="preserve">Response in this context means that a causal relationship between a medicinal product and an adverse event is at least a reasonable possibility (see </w:t>
      </w:r>
      <w:hyperlink r:id="rId13" w:history="1">
        <w:r w:rsidRPr="00F5497F">
          <w:rPr>
            <w:rStyle w:val="Hyperlink"/>
          </w:rPr>
          <w:t>GVP Annex IV, ICH-E2A Guideline</w:t>
        </w:r>
      </w:hyperlink>
      <w:r w:rsidRPr="00F5497F">
        <w:t xml:space="preserve">). </w:t>
      </w:r>
    </w:p>
    <w:p w14:paraId="0F668041" w14:textId="77777777" w:rsidR="0003081B" w:rsidRPr="00F5497F" w:rsidRDefault="0003081B" w:rsidP="001C4B1F"/>
    <w:p w14:paraId="6A52F240" w14:textId="3AA7A083" w:rsidR="001C4B1F" w:rsidRPr="00F5497F" w:rsidRDefault="001C4B1F" w:rsidP="001C4B1F">
      <w:r w:rsidRPr="00F5497F">
        <w:t>An adverse reaction, in contrast to an adverse event, is characterised by the fact that a causal relationship between a medicinal product and an occurrence is suspected.</w:t>
      </w:r>
    </w:p>
    <w:p w14:paraId="0B245F07" w14:textId="77777777" w:rsidR="00075C67" w:rsidRPr="00F5497F" w:rsidRDefault="00075C67" w:rsidP="009E1C4C">
      <w:pPr>
        <w:jc w:val="both"/>
      </w:pPr>
    </w:p>
    <w:p w14:paraId="0D5E3C34" w14:textId="31542810" w:rsidR="00986DC4" w:rsidRPr="00F5497F" w:rsidRDefault="00986DC4" w:rsidP="009E1C4C">
      <w:pPr>
        <w:jc w:val="both"/>
      </w:pPr>
      <w:r w:rsidRPr="00F5497F">
        <w:t>For regulatory purposes in the EU, all spontaneously reported events from healthcare professionals or consumers are regarded as suspected adverse reactions, unless the reporter explicitly states that a causal relationship can be excluded.</w:t>
      </w:r>
    </w:p>
    <w:p w14:paraId="491D597E" w14:textId="77777777" w:rsidR="00027017" w:rsidRPr="00F5497F" w:rsidRDefault="00027017" w:rsidP="009E1C4C">
      <w:pPr>
        <w:jc w:val="both"/>
      </w:pPr>
    </w:p>
    <w:p w14:paraId="73385441" w14:textId="63BACC4F" w:rsidR="00946A16" w:rsidRPr="00F5497F" w:rsidRDefault="00986DC4" w:rsidP="00F5497F">
      <w:pPr>
        <w:jc w:val="both"/>
      </w:pPr>
      <w:r w:rsidRPr="00F5497F">
        <w:t>Suspected adverse reactions may arise from use within or outside the terms of the marketing authorisation, including</w:t>
      </w:r>
      <w:r w:rsidR="00946A16" w:rsidRPr="00F5497F">
        <w:t>:</w:t>
      </w:r>
    </w:p>
    <w:p w14:paraId="530538C0" w14:textId="77777777" w:rsidR="0003081B" w:rsidRPr="00F5497F" w:rsidRDefault="0003081B" w:rsidP="00F5497F">
      <w:pPr>
        <w:jc w:val="both"/>
      </w:pPr>
    </w:p>
    <w:p w14:paraId="0A5EF066" w14:textId="450C92CC" w:rsidR="00946A16" w:rsidRPr="00F5497F" w:rsidRDefault="00986DC4" w:rsidP="009E1C4C">
      <w:pPr>
        <w:numPr>
          <w:ilvl w:val="0"/>
          <w:numId w:val="39"/>
        </w:numPr>
        <w:jc w:val="both"/>
      </w:pPr>
      <w:r w:rsidRPr="00F5497F">
        <w:t>off</w:t>
      </w:r>
      <w:r w:rsidRPr="00F5497F">
        <w:noBreakHyphen/>
        <w:t xml:space="preserve">label use, </w:t>
      </w:r>
    </w:p>
    <w:p w14:paraId="773939F1" w14:textId="77777777" w:rsidR="00946A16" w:rsidRPr="00F5497F" w:rsidRDefault="00986DC4" w:rsidP="009E1C4C">
      <w:pPr>
        <w:numPr>
          <w:ilvl w:val="0"/>
          <w:numId w:val="39"/>
        </w:numPr>
        <w:jc w:val="both"/>
      </w:pPr>
      <w:r w:rsidRPr="00F5497F">
        <w:t xml:space="preserve">overdose, </w:t>
      </w:r>
    </w:p>
    <w:p w14:paraId="6970B7ED" w14:textId="59DD8D4D" w:rsidR="00946A16" w:rsidRPr="00F5497F" w:rsidRDefault="00986DC4" w:rsidP="009E1C4C">
      <w:pPr>
        <w:numPr>
          <w:ilvl w:val="0"/>
          <w:numId w:val="39"/>
        </w:numPr>
        <w:jc w:val="both"/>
      </w:pPr>
      <w:r w:rsidRPr="00F5497F">
        <w:t>misuse</w:t>
      </w:r>
      <w:r w:rsidR="00946A16" w:rsidRPr="00F5497F">
        <w:t xml:space="preserve"> or </w:t>
      </w:r>
      <w:r w:rsidRPr="00F5497F">
        <w:t xml:space="preserve">abuse, </w:t>
      </w:r>
    </w:p>
    <w:p w14:paraId="244CF629" w14:textId="23829C70" w:rsidR="00946A16" w:rsidRPr="00F5497F" w:rsidRDefault="00986DC4" w:rsidP="00F5497F">
      <w:pPr>
        <w:numPr>
          <w:ilvl w:val="0"/>
          <w:numId w:val="39"/>
        </w:numPr>
        <w:jc w:val="both"/>
      </w:pPr>
      <w:r w:rsidRPr="00F5497F">
        <w:t xml:space="preserve">medication errors, or </w:t>
      </w:r>
    </w:p>
    <w:p w14:paraId="378C4E6C" w14:textId="77777777" w:rsidR="00986DC4" w:rsidRPr="00F5497F" w:rsidRDefault="00986DC4" w:rsidP="009E1C4C">
      <w:pPr>
        <w:numPr>
          <w:ilvl w:val="0"/>
          <w:numId w:val="39"/>
        </w:numPr>
        <w:jc w:val="both"/>
      </w:pPr>
      <w:r w:rsidRPr="00F5497F">
        <w:t>occupational exposure.</w:t>
      </w:r>
    </w:p>
    <w:p w14:paraId="1CA962AC" w14:textId="77777777" w:rsidR="00986DC4" w:rsidRPr="00F5497F" w:rsidRDefault="00986DC4" w:rsidP="009E1C4C">
      <w:pPr>
        <w:jc w:val="both"/>
      </w:pPr>
    </w:p>
    <w:p w14:paraId="293B275E" w14:textId="77777777" w:rsidR="00255D6F" w:rsidRPr="00F5497F" w:rsidRDefault="00255D6F" w:rsidP="009E1C4C">
      <w:pPr>
        <w:pStyle w:val="BodyText2"/>
        <w:ind w:left="1080"/>
      </w:pPr>
    </w:p>
    <w:p w14:paraId="5D62148B" w14:textId="77777777" w:rsidR="00255D6F" w:rsidRPr="00F5497F" w:rsidRDefault="00CB12CC" w:rsidP="00F5497F">
      <w:pPr>
        <w:pStyle w:val="Heading4"/>
        <w:spacing w:after="120"/>
        <w:ind w:left="0"/>
        <w:jc w:val="both"/>
      </w:pPr>
      <w:bookmarkStart w:id="14" w:name="_Toc454543989"/>
      <w:bookmarkStart w:id="15" w:name="_Toc44680281"/>
      <w:r w:rsidRPr="00F5497F">
        <w:t>Medication error</w:t>
      </w:r>
      <w:bookmarkEnd w:id="14"/>
      <w:bookmarkEnd w:id="15"/>
    </w:p>
    <w:p w14:paraId="16BAF8B5" w14:textId="13A5A34A" w:rsidR="00975CF8" w:rsidRPr="00F5497F" w:rsidRDefault="00975CF8" w:rsidP="009E1C4C">
      <w:pPr>
        <w:jc w:val="both"/>
      </w:pPr>
      <w:r w:rsidRPr="00F5497F">
        <w:t>A medication error is any preventable event that may cause or lead to inappropriate medication use or patient harm while the medicinal product is under the control of the healthcare professional, patient, or consumer. (National Coordinating Council for Medication Error Reporting and Prevention</w:t>
      </w:r>
      <w:r w:rsidRPr="00F5497F">
        <w:rPr>
          <w:rStyle w:val="FootnoteReference"/>
        </w:rPr>
        <w:footnoteReference w:id="1"/>
      </w:r>
      <w:r w:rsidRPr="00F5497F">
        <w:t xml:space="preserve">).  </w:t>
      </w:r>
    </w:p>
    <w:p w14:paraId="1DE3F3EC" w14:textId="77777777" w:rsidR="00975CF8" w:rsidRPr="00F5497F" w:rsidRDefault="00975CF8" w:rsidP="009E1C4C">
      <w:pPr>
        <w:jc w:val="both"/>
      </w:pPr>
    </w:p>
    <w:p w14:paraId="4D11791A" w14:textId="5136E477" w:rsidR="00975CF8" w:rsidRPr="00F5497F" w:rsidRDefault="00975CF8" w:rsidP="009E1C4C">
      <w:pPr>
        <w:jc w:val="both"/>
      </w:pPr>
      <w:r w:rsidRPr="00F5497F">
        <w:t>Medication errors should be reported when they:</w:t>
      </w:r>
    </w:p>
    <w:p w14:paraId="5FBA19B8" w14:textId="77777777" w:rsidR="00027017" w:rsidRPr="00F5497F" w:rsidRDefault="00027017" w:rsidP="009E1C4C">
      <w:pPr>
        <w:jc w:val="both"/>
      </w:pPr>
    </w:p>
    <w:p w14:paraId="325FC884" w14:textId="68FE0252" w:rsidR="00975CF8" w:rsidRPr="00F5497F" w:rsidRDefault="00975CF8" w:rsidP="009E1C4C">
      <w:pPr>
        <w:numPr>
          <w:ilvl w:val="0"/>
          <w:numId w:val="43"/>
        </w:numPr>
        <w:jc w:val="both"/>
      </w:pPr>
      <w:r w:rsidRPr="00F5497F">
        <w:t>cause harm (i.e.</w:t>
      </w:r>
      <w:r w:rsidR="00027017" w:rsidRPr="00F5497F">
        <w:t>,</w:t>
      </w:r>
      <w:r w:rsidRPr="00F5497F">
        <w:t xml:space="preserve"> </w:t>
      </w:r>
      <w:r w:rsidR="00857652" w:rsidRPr="00F5497F">
        <w:t>lead to as an unintended failure in the drug treatment process that leads to ADR)</w:t>
      </w:r>
      <w:r w:rsidRPr="00F5497F">
        <w:t>, or</w:t>
      </w:r>
    </w:p>
    <w:p w14:paraId="3B1E1A14" w14:textId="77777777" w:rsidR="00027017" w:rsidRPr="00F5497F" w:rsidRDefault="00027017" w:rsidP="00027017">
      <w:pPr>
        <w:jc w:val="both"/>
      </w:pPr>
    </w:p>
    <w:p w14:paraId="1F9C4347" w14:textId="73AC0004" w:rsidR="00975CF8" w:rsidRPr="00F5497F" w:rsidRDefault="00975CF8" w:rsidP="009E1C4C">
      <w:pPr>
        <w:numPr>
          <w:ilvl w:val="0"/>
          <w:numId w:val="43"/>
        </w:numPr>
        <w:jc w:val="both"/>
      </w:pPr>
      <w:r w:rsidRPr="00F5497F">
        <w:t>have the potential to cause harm</w:t>
      </w:r>
      <w:r w:rsidR="00027017" w:rsidRPr="00F5497F">
        <w:t xml:space="preserve"> (like a near miss or an intercepted error)</w:t>
      </w:r>
      <w:r w:rsidRPr="00F5497F">
        <w:t>.</w:t>
      </w:r>
    </w:p>
    <w:p w14:paraId="54AE0825" w14:textId="77777777" w:rsidR="00027017" w:rsidRPr="00F5497F" w:rsidRDefault="00027017" w:rsidP="00027017">
      <w:pPr>
        <w:jc w:val="both"/>
      </w:pPr>
    </w:p>
    <w:p w14:paraId="158C5FC7" w14:textId="77777777" w:rsidR="00251A51" w:rsidRPr="00F5497F" w:rsidRDefault="007F3F57" w:rsidP="009E1C4C">
      <w:pPr>
        <w:jc w:val="both"/>
      </w:pPr>
      <w:r w:rsidRPr="00F5497F">
        <w:t xml:space="preserve">(see </w:t>
      </w:r>
      <w:hyperlink r:id="rId14" w:anchor="good-practice-guide-section" w:history="1">
        <w:r w:rsidRPr="00F5497F">
          <w:rPr>
            <w:rStyle w:val="Hyperlink"/>
          </w:rPr>
          <w:t>EMA-PRAC Good Practice Guide on Recording, Coding, Reporting and Assessment of Medication Errors</w:t>
        </w:r>
      </w:hyperlink>
      <w:r w:rsidRPr="00F5497F">
        <w:t>).</w:t>
      </w:r>
    </w:p>
    <w:p w14:paraId="454302ED" w14:textId="77777777" w:rsidR="00356DA6" w:rsidRPr="00F5497F" w:rsidRDefault="00356DA6" w:rsidP="009E1C4C">
      <w:pPr>
        <w:jc w:val="both"/>
      </w:pPr>
    </w:p>
    <w:p w14:paraId="36D40954" w14:textId="77777777" w:rsidR="00356DA6" w:rsidRPr="00F5497F" w:rsidRDefault="00356DA6" w:rsidP="009E1C4C">
      <w:pPr>
        <w:jc w:val="both"/>
      </w:pPr>
    </w:p>
    <w:p w14:paraId="7F769D13" w14:textId="77777777" w:rsidR="00251A51" w:rsidRPr="00F5497F" w:rsidRDefault="003538F5" w:rsidP="00F5497F">
      <w:pPr>
        <w:pStyle w:val="Heading4"/>
        <w:spacing w:after="120"/>
        <w:ind w:left="0"/>
        <w:jc w:val="both"/>
      </w:pPr>
      <w:r w:rsidRPr="00F5497F">
        <w:lastRenderedPageBreak/>
        <w:t xml:space="preserve">Off-label use </w:t>
      </w:r>
    </w:p>
    <w:p w14:paraId="0474DFA3" w14:textId="014EA565" w:rsidR="00975CF8" w:rsidRPr="00F5497F" w:rsidRDefault="00975CF8" w:rsidP="009E1C4C">
      <w:pPr>
        <w:jc w:val="both"/>
      </w:pPr>
      <w:r w:rsidRPr="00F5497F">
        <w:t>Off</w:t>
      </w:r>
      <w:r w:rsidRPr="00F5497F">
        <w:noBreakHyphen/>
        <w:t>label use refers to the intentional use of a medicinal product outside the terms of its marketing authorisation, such as:</w:t>
      </w:r>
    </w:p>
    <w:p w14:paraId="2FF3DC89" w14:textId="77777777" w:rsidR="00027017" w:rsidRPr="00F5497F" w:rsidRDefault="00027017" w:rsidP="009E1C4C">
      <w:pPr>
        <w:jc w:val="both"/>
      </w:pPr>
    </w:p>
    <w:p w14:paraId="12B41BE7" w14:textId="412BBB1B" w:rsidR="00975CF8" w:rsidRPr="00F5497F" w:rsidRDefault="00975CF8" w:rsidP="009E1C4C">
      <w:pPr>
        <w:numPr>
          <w:ilvl w:val="0"/>
          <w:numId w:val="44"/>
        </w:numPr>
        <w:jc w:val="both"/>
      </w:pPr>
      <w:r w:rsidRPr="00F5497F">
        <w:t>a different indication,</w:t>
      </w:r>
    </w:p>
    <w:p w14:paraId="229F1C6D" w14:textId="77777777" w:rsidR="00975CF8" w:rsidRPr="00F5497F" w:rsidRDefault="00975CF8" w:rsidP="009E1C4C">
      <w:pPr>
        <w:numPr>
          <w:ilvl w:val="0"/>
          <w:numId w:val="44"/>
        </w:numPr>
        <w:jc w:val="both"/>
      </w:pPr>
      <w:r w:rsidRPr="00F5497F">
        <w:t xml:space="preserve">a different </w:t>
      </w:r>
      <w:r w:rsidR="00957F5C" w:rsidRPr="00F5497F">
        <w:t xml:space="preserve">group of patients (e.g. </w:t>
      </w:r>
      <w:r w:rsidRPr="00F5497F">
        <w:t>age group</w:t>
      </w:r>
      <w:r w:rsidR="00957F5C" w:rsidRPr="00F5497F">
        <w:t>)</w:t>
      </w:r>
      <w:r w:rsidRPr="00F5497F">
        <w:t>,</w:t>
      </w:r>
    </w:p>
    <w:p w14:paraId="4D123B38" w14:textId="690B1FB3" w:rsidR="00975CF8" w:rsidRPr="00F5497F" w:rsidRDefault="00975CF8" w:rsidP="00F5497F">
      <w:pPr>
        <w:numPr>
          <w:ilvl w:val="0"/>
          <w:numId w:val="44"/>
        </w:numPr>
        <w:jc w:val="both"/>
      </w:pPr>
      <w:r w:rsidRPr="00F5497F">
        <w:t>a different dose, route, or method of administration.</w:t>
      </w:r>
    </w:p>
    <w:p w14:paraId="4F76A0F8" w14:textId="77777777" w:rsidR="00975CF8" w:rsidRPr="00F5497F" w:rsidRDefault="00975CF8" w:rsidP="009E1C4C">
      <w:pPr>
        <w:jc w:val="both"/>
      </w:pPr>
    </w:p>
    <w:p w14:paraId="150A2AD4" w14:textId="77777777" w:rsidR="002F55CA" w:rsidRPr="00F5497F" w:rsidRDefault="002F55CA" w:rsidP="009E1C4C">
      <w:pPr>
        <w:jc w:val="both"/>
      </w:pPr>
    </w:p>
    <w:p w14:paraId="4219CD99" w14:textId="77777777" w:rsidR="002F55CA" w:rsidRPr="00F5497F" w:rsidRDefault="002F55CA" w:rsidP="00F5497F">
      <w:pPr>
        <w:pStyle w:val="Heading4"/>
        <w:spacing w:after="120"/>
        <w:ind w:left="0"/>
        <w:jc w:val="both"/>
        <w:rPr>
          <w:b w:val="0"/>
          <w:highlight w:val="yellow"/>
        </w:rPr>
      </w:pPr>
      <w:r w:rsidRPr="00F5497F">
        <w:t xml:space="preserve">Risk management system </w:t>
      </w:r>
    </w:p>
    <w:p w14:paraId="72F14477" w14:textId="6ACC1301" w:rsidR="002F55CA" w:rsidRPr="00F5497F" w:rsidRDefault="006D5809" w:rsidP="009E1C4C">
      <w:pPr>
        <w:jc w:val="both"/>
      </w:pPr>
      <w:r w:rsidRPr="00F5497F">
        <w:t xml:space="preserve">A </w:t>
      </w:r>
      <w:r w:rsidRPr="00F5497F">
        <w:rPr>
          <w:b/>
          <w:bCs/>
        </w:rPr>
        <w:t>risk management system</w:t>
      </w:r>
      <w:r w:rsidRPr="00F5497F">
        <w:t xml:space="preserve"> is a</w:t>
      </w:r>
      <w:r w:rsidR="002F55CA" w:rsidRPr="00F5497F">
        <w:t xml:space="preserve"> set of pharmacovigilance activities and interventions designed to identify, characterise, prevent or minimise risks relating to a medicinal product, including the assessment of the effectiveness of those activities and interventions </w:t>
      </w:r>
      <w:hyperlink r:id="rId15" w:history="1">
        <w:r w:rsidR="002F55CA" w:rsidRPr="00F5497F">
          <w:rPr>
            <w:rStyle w:val="Hyperlink"/>
          </w:rPr>
          <w:t>[DIR 2001/83/EC Art 1(28b)]</w:t>
        </w:r>
      </w:hyperlink>
      <w:r w:rsidR="002F55CA" w:rsidRPr="00F5497F">
        <w:t xml:space="preserve">. </w:t>
      </w:r>
    </w:p>
    <w:p w14:paraId="2CDC79ED" w14:textId="77777777" w:rsidR="002F55CA" w:rsidRPr="00F5497F" w:rsidRDefault="002F55CA" w:rsidP="00F5497F">
      <w:pPr>
        <w:spacing w:before="120"/>
        <w:jc w:val="both"/>
        <w:rPr>
          <w:b/>
          <w:highlight w:val="yellow"/>
        </w:rPr>
      </w:pPr>
    </w:p>
    <w:p w14:paraId="213E33C5" w14:textId="32020CAB" w:rsidR="00CE031B" w:rsidRPr="00F5497F" w:rsidRDefault="002F55CA" w:rsidP="00F5497F">
      <w:pPr>
        <w:pStyle w:val="Heading4"/>
        <w:spacing w:after="120"/>
        <w:ind w:left="0"/>
        <w:jc w:val="both"/>
      </w:pPr>
      <w:r w:rsidRPr="00F5497F">
        <w:t>Risk minimisation measure</w:t>
      </w:r>
      <w:r w:rsidR="00790C22" w:rsidRPr="00F5497F">
        <w:t>s</w:t>
      </w:r>
      <w:r w:rsidR="00520558" w:rsidRPr="00F5497F">
        <w:t xml:space="preserve"> (RMM</w:t>
      </w:r>
      <w:r w:rsidR="00790C22" w:rsidRPr="00F5497F">
        <w:t>s</w:t>
      </w:r>
      <w:r w:rsidR="00520558" w:rsidRPr="00F5497F">
        <w:t>)</w:t>
      </w:r>
    </w:p>
    <w:p w14:paraId="6A54C8A8" w14:textId="13ACC6FA" w:rsidR="002F55CA" w:rsidRPr="00F5497F" w:rsidRDefault="001968AC" w:rsidP="009E1C4C">
      <w:pPr>
        <w:jc w:val="both"/>
      </w:pPr>
      <w:r w:rsidRPr="00F5497F">
        <w:rPr>
          <w:i/>
          <w:iCs/>
          <w:szCs w:val="24"/>
        </w:rPr>
        <w:t>Synonym</w:t>
      </w:r>
      <w:r w:rsidR="002F55CA" w:rsidRPr="00F5497F">
        <w:rPr>
          <w:i/>
          <w:iCs/>
          <w:szCs w:val="24"/>
        </w:rPr>
        <w:t>:</w:t>
      </w:r>
      <w:r w:rsidR="002F55CA" w:rsidRPr="00F5497F">
        <w:rPr>
          <w:szCs w:val="24"/>
        </w:rPr>
        <w:t xml:space="preserve"> Risk minimisation activity </w:t>
      </w:r>
    </w:p>
    <w:p w14:paraId="51A2C8CB" w14:textId="77777777" w:rsidR="002F55CA" w:rsidRPr="00F5497F" w:rsidRDefault="002F55CA" w:rsidP="009E1C4C">
      <w:pPr>
        <w:jc w:val="both"/>
        <w:rPr>
          <w:b/>
          <w:bCs/>
        </w:rPr>
      </w:pPr>
    </w:p>
    <w:p w14:paraId="6CFE05EF" w14:textId="54CE6C75" w:rsidR="001968AC" w:rsidRPr="00F5497F" w:rsidRDefault="001968AC" w:rsidP="009E1C4C">
      <w:pPr>
        <w:jc w:val="both"/>
      </w:pPr>
      <w:r w:rsidRPr="00F5497F">
        <w:t xml:space="preserve">A </w:t>
      </w:r>
      <w:r w:rsidRPr="00F5497F">
        <w:rPr>
          <w:b/>
          <w:bCs/>
        </w:rPr>
        <w:t>risk minimisation measure</w:t>
      </w:r>
      <w:r w:rsidRPr="00F5497F">
        <w:t xml:space="preserve"> consists of interventions intended to prevent or reduce the occurrence of adverse reactions associated with exposure to a medicinal product, or to reduce their severity or impact should they occur.</w:t>
      </w:r>
    </w:p>
    <w:p w14:paraId="39E820E3" w14:textId="77777777" w:rsidR="00027017" w:rsidRPr="00F5497F" w:rsidRDefault="00027017" w:rsidP="009E1C4C">
      <w:pPr>
        <w:jc w:val="both"/>
      </w:pPr>
    </w:p>
    <w:p w14:paraId="68369B22" w14:textId="0E23AE62" w:rsidR="001968AC" w:rsidRPr="00F5497F" w:rsidRDefault="001968AC" w:rsidP="009E1C4C">
      <w:pPr>
        <w:jc w:val="both"/>
      </w:pPr>
      <w:r w:rsidRPr="00F5497F">
        <w:t>Risk minimisation measures may be:</w:t>
      </w:r>
    </w:p>
    <w:p w14:paraId="11EA4431" w14:textId="77777777" w:rsidR="00790C22" w:rsidRPr="00F5497F" w:rsidRDefault="00790C22" w:rsidP="009E1C4C">
      <w:pPr>
        <w:jc w:val="both"/>
      </w:pPr>
    </w:p>
    <w:p w14:paraId="6346C14C" w14:textId="45059FE5" w:rsidR="001968AC" w:rsidRPr="00F5497F" w:rsidRDefault="001968AC" w:rsidP="009E1C4C">
      <w:pPr>
        <w:numPr>
          <w:ilvl w:val="1"/>
          <w:numId w:val="64"/>
        </w:numPr>
        <w:ind w:left="709" w:hanging="283"/>
        <w:jc w:val="both"/>
      </w:pPr>
      <w:r w:rsidRPr="00F5497F">
        <w:rPr>
          <w:b/>
          <w:bCs/>
        </w:rPr>
        <w:t>Routine</w:t>
      </w:r>
      <w:r w:rsidR="00520558" w:rsidRPr="00F5497F">
        <w:rPr>
          <w:b/>
          <w:bCs/>
        </w:rPr>
        <w:t xml:space="preserve"> RMM</w:t>
      </w:r>
      <w:r w:rsidRPr="00F5497F">
        <w:t>, such as</w:t>
      </w:r>
      <w:r w:rsidR="00520558" w:rsidRPr="00F5497F">
        <w:t xml:space="preserve"> changes in the </w:t>
      </w:r>
      <w:r w:rsidRPr="00F5497F">
        <w:t>Summary of Product Characteristics</w:t>
      </w:r>
      <w:r w:rsidR="00520558" w:rsidRPr="00F5497F">
        <w:t xml:space="preserve"> (SmPC)</w:t>
      </w:r>
      <w:r w:rsidRPr="00F5497F">
        <w:t>,</w:t>
      </w:r>
      <w:r w:rsidR="00520558" w:rsidRPr="00F5497F">
        <w:t xml:space="preserve"> </w:t>
      </w:r>
      <w:r w:rsidRPr="00F5497F">
        <w:t>package leaflet,</w:t>
      </w:r>
      <w:r w:rsidR="00520558" w:rsidRPr="00F5497F">
        <w:t xml:space="preserve"> </w:t>
      </w:r>
      <w:r w:rsidRPr="00F5497F">
        <w:t>labelling,</w:t>
      </w:r>
      <w:r w:rsidR="00520558" w:rsidRPr="00F5497F">
        <w:t xml:space="preserve"> </w:t>
      </w:r>
      <w:r w:rsidRPr="00F5497F">
        <w:t>pack size,</w:t>
      </w:r>
      <w:r w:rsidR="00520558" w:rsidRPr="00F5497F">
        <w:t xml:space="preserve"> </w:t>
      </w:r>
      <w:r w:rsidRPr="00F5497F">
        <w:t>legal status, or</w:t>
      </w:r>
      <w:r w:rsidR="00520558" w:rsidRPr="00F5497F">
        <w:t xml:space="preserve"> </w:t>
      </w:r>
      <w:r w:rsidRPr="00F5497F">
        <w:t>formulation</w:t>
      </w:r>
      <w:r w:rsidR="00520558" w:rsidRPr="00F5497F">
        <w:t>.</w:t>
      </w:r>
    </w:p>
    <w:p w14:paraId="2C7274F9" w14:textId="77777777" w:rsidR="00790C22" w:rsidRPr="00F5497F" w:rsidRDefault="00790C22" w:rsidP="00790C22">
      <w:pPr>
        <w:ind w:left="709"/>
        <w:jc w:val="both"/>
      </w:pPr>
    </w:p>
    <w:p w14:paraId="3DFE51AB" w14:textId="29B92C3F" w:rsidR="001968AC" w:rsidRPr="00F5497F" w:rsidRDefault="001968AC" w:rsidP="00F5497F">
      <w:pPr>
        <w:numPr>
          <w:ilvl w:val="1"/>
          <w:numId w:val="64"/>
        </w:numPr>
        <w:ind w:left="709" w:hanging="283"/>
        <w:jc w:val="both"/>
      </w:pPr>
      <w:r w:rsidRPr="00F5497F">
        <w:rPr>
          <w:b/>
          <w:bCs/>
        </w:rPr>
        <w:t>Additional</w:t>
      </w:r>
      <w:r w:rsidR="00520558" w:rsidRPr="00F5497F">
        <w:rPr>
          <w:b/>
          <w:bCs/>
        </w:rPr>
        <w:t xml:space="preserve"> RMM</w:t>
      </w:r>
      <w:r w:rsidRPr="00F5497F">
        <w:t>, such as</w:t>
      </w:r>
      <w:r w:rsidR="00520558" w:rsidRPr="00F5497F">
        <w:t xml:space="preserve"> additional </w:t>
      </w:r>
      <w:r w:rsidRPr="00F5497F">
        <w:t>educational programmes,</w:t>
      </w:r>
      <w:r w:rsidR="00520558" w:rsidRPr="00F5497F">
        <w:t xml:space="preserve"> </w:t>
      </w:r>
      <w:r w:rsidRPr="00F5497F">
        <w:t>controlled access programmes, or</w:t>
      </w:r>
      <w:r w:rsidR="00520558" w:rsidRPr="00F5497F">
        <w:t xml:space="preserve"> </w:t>
      </w:r>
      <w:r w:rsidRPr="00F5497F">
        <w:t xml:space="preserve">other targeted </w:t>
      </w:r>
      <w:r w:rsidR="00520558" w:rsidRPr="00F5497F">
        <w:t>interventions designed to support the safe use of medicinal products</w:t>
      </w:r>
      <w:r w:rsidRPr="00F5497F">
        <w:t>.</w:t>
      </w:r>
      <w:r w:rsidR="007B18AE" w:rsidRPr="00F5497F">
        <w:t xml:space="preserve"> </w:t>
      </w:r>
      <w:hyperlink r:id="rId16" w:history="1">
        <w:r w:rsidR="007B18AE" w:rsidRPr="00F5497F">
          <w:rPr>
            <w:rStyle w:val="Hyperlink"/>
          </w:rPr>
          <w:t>[DIR 2001/83/EC Art 1(28)]</w:t>
        </w:r>
      </w:hyperlink>
      <w:r w:rsidR="007B18AE" w:rsidRPr="00F5497F">
        <w:t>.</w:t>
      </w:r>
    </w:p>
    <w:p w14:paraId="608FE576" w14:textId="77777777" w:rsidR="00957F5C" w:rsidRPr="00F5497F" w:rsidRDefault="00957F5C" w:rsidP="009E1C4C">
      <w:pPr>
        <w:jc w:val="both"/>
        <w:rPr>
          <w:b/>
          <w:bCs/>
          <w:szCs w:val="24"/>
        </w:rPr>
      </w:pPr>
      <w:bookmarkStart w:id="16" w:name="_Toc454543988"/>
      <w:bookmarkStart w:id="17" w:name="_Toc44680282"/>
    </w:p>
    <w:p w14:paraId="0B62BFA1" w14:textId="77777777" w:rsidR="001968AC" w:rsidRPr="00F5497F" w:rsidRDefault="001968AC" w:rsidP="009E1C4C">
      <w:pPr>
        <w:ind w:firstLine="720"/>
        <w:jc w:val="both"/>
        <w:rPr>
          <w:b/>
          <w:bCs/>
          <w:szCs w:val="24"/>
        </w:rPr>
      </w:pPr>
    </w:p>
    <w:p w14:paraId="665E3C35" w14:textId="77777777" w:rsidR="00255D6F" w:rsidRPr="00F5497F" w:rsidRDefault="00F156BA" w:rsidP="00F5497F">
      <w:pPr>
        <w:pStyle w:val="Heading4"/>
        <w:spacing w:after="120"/>
        <w:ind w:left="0"/>
        <w:jc w:val="both"/>
      </w:pPr>
      <w:r w:rsidRPr="00F5497F">
        <w:t>Serious adverse reaction</w:t>
      </w:r>
      <w:bookmarkEnd w:id="16"/>
      <w:bookmarkEnd w:id="17"/>
      <w:r w:rsidRPr="00F5497F">
        <w:t xml:space="preserve"> </w:t>
      </w:r>
    </w:p>
    <w:p w14:paraId="4838AA59" w14:textId="0AE6D8B9" w:rsidR="00957F5C" w:rsidRPr="00F5497F" w:rsidRDefault="00957F5C" w:rsidP="009E1C4C">
      <w:pPr>
        <w:jc w:val="both"/>
      </w:pPr>
      <w:r w:rsidRPr="00F5497F">
        <w:t xml:space="preserve">A </w:t>
      </w:r>
      <w:r w:rsidRPr="00F5497F">
        <w:rPr>
          <w:b/>
          <w:bCs/>
        </w:rPr>
        <w:t>serious</w:t>
      </w:r>
      <w:r w:rsidRPr="00F5497F">
        <w:rPr>
          <w:b/>
        </w:rPr>
        <w:t xml:space="preserve"> adverse reaction</w:t>
      </w:r>
      <w:r w:rsidRPr="00F5497F">
        <w:t xml:space="preserve"> is one that:</w:t>
      </w:r>
    </w:p>
    <w:p w14:paraId="23DAEBB4" w14:textId="77777777" w:rsidR="00027017" w:rsidRPr="00F5497F" w:rsidRDefault="00027017" w:rsidP="009E1C4C">
      <w:pPr>
        <w:jc w:val="both"/>
      </w:pPr>
    </w:p>
    <w:p w14:paraId="40EC0427" w14:textId="5514EA74" w:rsidR="00957F5C" w:rsidRPr="00F5497F" w:rsidRDefault="00957F5C" w:rsidP="009E1C4C">
      <w:pPr>
        <w:numPr>
          <w:ilvl w:val="0"/>
          <w:numId w:val="45"/>
        </w:numPr>
        <w:ind w:left="567" w:hanging="207"/>
        <w:jc w:val="both"/>
      </w:pPr>
      <w:r w:rsidRPr="00F5497F">
        <w:t>results in death,</w:t>
      </w:r>
    </w:p>
    <w:p w14:paraId="3968349E" w14:textId="006F8AA3" w:rsidR="00957F5C" w:rsidRPr="00F5497F" w:rsidRDefault="00957F5C" w:rsidP="009E1C4C">
      <w:pPr>
        <w:numPr>
          <w:ilvl w:val="0"/>
          <w:numId w:val="45"/>
        </w:numPr>
        <w:jc w:val="both"/>
      </w:pPr>
      <w:r w:rsidRPr="00F5497F">
        <w:t>is life</w:t>
      </w:r>
      <w:r w:rsidRPr="00F5497F">
        <w:noBreakHyphen/>
        <w:t>threatening,</w:t>
      </w:r>
    </w:p>
    <w:p w14:paraId="6DB7732D" w14:textId="3CD464B1" w:rsidR="00957F5C" w:rsidRPr="00F5497F" w:rsidRDefault="00957F5C" w:rsidP="009E1C4C">
      <w:pPr>
        <w:numPr>
          <w:ilvl w:val="0"/>
          <w:numId w:val="45"/>
        </w:numPr>
        <w:jc w:val="both"/>
      </w:pPr>
      <w:r w:rsidRPr="00F5497F">
        <w:t>requires hospitalisation or prolongation of hospitalisation,</w:t>
      </w:r>
    </w:p>
    <w:p w14:paraId="31CA8720" w14:textId="3B27C00E" w:rsidR="00957F5C" w:rsidRPr="00F5497F" w:rsidRDefault="00957F5C" w:rsidP="009E1C4C">
      <w:pPr>
        <w:numPr>
          <w:ilvl w:val="0"/>
          <w:numId w:val="45"/>
        </w:numPr>
        <w:jc w:val="both"/>
      </w:pPr>
      <w:r w:rsidRPr="00F5497F">
        <w:t>results in persistent or significant disability or incapacity, or</w:t>
      </w:r>
    </w:p>
    <w:p w14:paraId="41AEA12E" w14:textId="7EFFA62F" w:rsidR="00957F5C" w:rsidRPr="00F5497F" w:rsidRDefault="00957F5C" w:rsidP="00F5497F">
      <w:pPr>
        <w:numPr>
          <w:ilvl w:val="0"/>
          <w:numId w:val="45"/>
        </w:numPr>
        <w:jc w:val="both"/>
      </w:pPr>
      <w:r w:rsidRPr="00F5497F">
        <w:t>is a congenital anomaly or birth defect.</w:t>
      </w:r>
      <w:r w:rsidR="007F3F57" w:rsidRPr="00F5497F">
        <w:t xml:space="preserve"> </w:t>
      </w:r>
      <w:hyperlink r:id="rId17" w:history="1">
        <w:r w:rsidR="007F3F57" w:rsidRPr="00F5497F">
          <w:rPr>
            <w:rStyle w:val="Hyperlink"/>
          </w:rPr>
          <w:t>[DIR 2001/83/EC Art 1(12)]</w:t>
        </w:r>
      </w:hyperlink>
      <w:r w:rsidR="007F3F57" w:rsidRPr="00F5497F">
        <w:t xml:space="preserve">.  </w:t>
      </w:r>
    </w:p>
    <w:p w14:paraId="7DB8BC8E" w14:textId="77777777" w:rsidR="00957F5C" w:rsidRPr="00F5497F" w:rsidRDefault="00957F5C" w:rsidP="009E1C4C">
      <w:pPr>
        <w:jc w:val="both"/>
        <w:rPr>
          <w:lang w:val="en-US"/>
        </w:rPr>
      </w:pPr>
    </w:p>
    <w:p w14:paraId="3326A193" w14:textId="77777777" w:rsidR="00F156BA" w:rsidRPr="00F5497F" w:rsidRDefault="00F156BA" w:rsidP="009E1C4C">
      <w:pPr>
        <w:jc w:val="both"/>
      </w:pPr>
    </w:p>
    <w:p w14:paraId="6C116655" w14:textId="77777777" w:rsidR="00227279" w:rsidRPr="00F5497F" w:rsidRDefault="00227279" w:rsidP="00F5497F">
      <w:pPr>
        <w:pStyle w:val="Heading4"/>
        <w:spacing w:after="120"/>
        <w:ind w:left="0"/>
        <w:jc w:val="both"/>
      </w:pPr>
      <w:r w:rsidRPr="00F5497F">
        <w:t xml:space="preserve">Unexpected adverse reaction </w:t>
      </w:r>
    </w:p>
    <w:p w14:paraId="227BE665" w14:textId="38F8F2D4" w:rsidR="00027017" w:rsidRPr="00F5497F" w:rsidRDefault="00CD74B5" w:rsidP="007F3F57">
      <w:pPr>
        <w:jc w:val="both"/>
        <w:rPr>
          <w:color w:val="FF0000"/>
        </w:rPr>
      </w:pPr>
      <w:r w:rsidRPr="00F5497F">
        <w:t xml:space="preserve">An </w:t>
      </w:r>
      <w:r w:rsidRPr="00F5497F">
        <w:rPr>
          <w:b/>
          <w:bCs/>
        </w:rPr>
        <w:t xml:space="preserve">unexpected </w:t>
      </w:r>
      <w:r w:rsidRPr="00F5497F">
        <w:rPr>
          <w:b/>
        </w:rPr>
        <w:t>adverse reaction</w:t>
      </w:r>
      <w:r w:rsidRPr="00F5497F">
        <w:t xml:space="preserve"> is one where the</w:t>
      </w:r>
      <w:r w:rsidR="007F3F57" w:rsidRPr="00F5497F">
        <w:t xml:space="preserve"> </w:t>
      </w:r>
      <w:r w:rsidRPr="00F5497F">
        <w:t>nature,</w:t>
      </w:r>
      <w:r w:rsidR="007F3F57" w:rsidRPr="00F5497F">
        <w:t xml:space="preserve"> </w:t>
      </w:r>
      <w:r w:rsidRPr="00F5497F">
        <w:t>severity, or</w:t>
      </w:r>
      <w:r w:rsidR="007F3F57" w:rsidRPr="00F5497F">
        <w:t xml:space="preserve"> </w:t>
      </w:r>
      <w:r w:rsidRPr="00F5497F">
        <w:t>outcom</w:t>
      </w:r>
      <w:r w:rsidR="007F3F57" w:rsidRPr="00F5497F">
        <w:t xml:space="preserve">e </w:t>
      </w:r>
      <w:r w:rsidRPr="00F5497F">
        <w:t>is not consistent with the information in the Summary of Product Characteristics (SmPC)</w:t>
      </w:r>
      <w:r w:rsidR="001331EF" w:rsidRPr="00F5497F">
        <w:t>.</w:t>
      </w:r>
      <w:r w:rsidR="007F3F57" w:rsidRPr="00F5497F">
        <w:rPr>
          <w:color w:val="FF0000"/>
        </w:rPr>
        <w:t xml:space="preserve"> </w:t>
      </w:r>
      <w:hyperlink r:id="rId18" w:history="1">
        <w:r w:rsidR="00027017" w:rsidRPr="00F5497F">
          <w:rPr>
            <w:rStyle w:val="Hyperlink"/>
          </w:rPr>
          <w:t>[DIR 2001/83/EC Art 1(13)]</w:t>
        </w:r>
      </w:hyperlink>
      <w:r w:rsidR="00027017" w:rsidRPr="00F5497F">
        <w:t>.</w:t>
      </w:r>
    </w:p>
    <w:p w14:paraId="7D761886" w14:textId="77777777" w:rsidR="00356DA6" w:rsidRPr="00F5497F" w:rsidRDefault="00356DA6" w:rsidP="007F3F57">
      <w:pPr>
        <w:jc w:val="both"/>
      </w:pPr>
    </w:p>
    <w:p w14:paraId="3697C0D2" w14:textId="77777777" w:rsidR="00CD74B5" w:rsidRPr="00F5497F" w:rsidRDefault="00CD74B5" w:rsidP="009E1C4C">
      <w:pPr>
        <w:pStyle w:val="Heading1"/>
        <w:numPr>
          <w:ilvl w:val="0"/>
          <w:numId w:val="102"/>
        </w:numPr>
        <w:spacing w:before="180" w:after="180"/>
        <w:ind w:left="425" w:hanging="425"/>
        <w:jc w:val="both"/>
        <w:rPr>
          <w:rFonts w:ascii="Times New Roman" w:hAnsi="Times New Roman" w:cs="Times New Roman"/>
        </w:rPr>
      </w:pPr>
      <w:bookmarkStart w:id="18" w:name="_Toc236130003"/>
      <w:r w:rsidRPr="00F5497F">
        <w:rPr>
          <w:rFonts w:ascii="Times New Roman" w:hAnsi="Times New Roman" w:cs="Times New Roman"/>
          <w:sz w:val="28"/>
          <w:szCs w:val="28"/>
        </w:rPr>
        <w:lastRenderedPageBreak/>
        <w:t xml:space="preserve">Why </w:t>
      </w:r>
      <w:r w:rsidRPr="00F5497F">
        <w:rPr>
          <w:rStyle w:val="BookTitle"/>
          <w:rFonts w:ascii="Times New Roman" w:hAnsi="Times New Roman"/>
          <w:b/>
          <w:bCs/>
          <w:i w:val="0"/>
          <w:iCs w:val="0"/>
          <w:sz w:val="28"/>
          <w:szCs w:val="28"/>
        </w:rPr>
        <w:t>ongoing</w:t>
      </w:r>
      <w:r w:rsidRPr="00F5497F">
        <w:rPr>
          <w:rFonts w:ascii="Times New Roman" w:hAnsi="Times New Roman" w:cs="Times New Roman"/>
          <w:sz w:val="28"/>
          <w:szCs w:val="28"/>
        </w:rPr>
        <w:t xml:space="preserve"> safety monitoring is necessary</w:t>
      </w:r>
      <w:bookmarkEnd w:id="18"/>
    </w:p>
    <w:p w14:paraId="76CD00BE" w14:textId="41888568" w:rsidR="006C3A63" w:rsidRPr="00F5497F" w:rsidRDefault="00CD74B5" w:rsidP="00F5497F">
      <w:pPr>
        <w:spacing w:before="120"/>
        <w:jc w:val="both"/>
      </w:pPr>
      <w:r w:rsidRPr="00F5497F">
        <w:t>Before authorisation, medicines are evaluated in clinical trials to assess safety</w:t>
      </w:r>
      <w:r w:rsidR="006C3A63" w:rsidRPr="00F5497F">
        <w:t xml:space="preserve"> </w:t>
      </w:r>
      <w:r w:rsidRPr="00F5497F">
        <w:t xml:space="preserve">and efficacy. </w:t>
      </w:r>
    </w:p>
    <w:p w14:paraId="3F092F4D" w14:textId="30E23A8C" w:rsidR="0003081B" w:rsidRPr="00F5497F" w:rsidRDefault="00CD74B5" w:rsidP="009E1C4C">
      <w:pPr>
        <w:spacing w:before="120"/>
        <w:jc w:val="both"/>
      </w:pPr>
      <w:r w:rsidRPr="00F5497F">
        <w:t xml:space="preserve">However, clinical trials </w:t>
      </w:r>
      <w:r w:rsidR="006C3A63" w:rsidRPr="00F5497F">
        <w:t xml:space="preserve">have limitations, and not </w:t>
      </w:r>
      <w:r w:rsidRPr="00F5497F">
        <w:t>all risks</w:t>
      </w:r>
      <w:r w:rsidR="006C3A63" w:rsidRPr="00F5497F">
        <w:t xml:space="preserve"> may be fully elucidated</w:t>
      </w:r>
      <w:r w:rsidR="00053157" w:rsidRPr="00F5497F">
        <w:t xml:space="preserve"> before reaching the market</w:t>
      </w:r>
      <w:r w:rsidRPr="00F5497F">
        <w:t>, particularly:</w:t>
      </w:r>
    </w:p>
    <w:p w14:paraId="5E686EF1" w14:textId="77777777" w:rsidR="00CD74B5" w:rsidRPr="00F5497F" w:rsidRDefault="00CD74B5" w:rsidP="009E1C4C">
      <w:pPr>
        <w:numPr>
          <w:ilvl w:val="0"/>
          <w:numId w:val="47"/>
        </w:numPr>
        <w:ind w:left="714" w:hanging="357"/>
        <w:jc w:val="both"/>
      </w:pPr>
      <w:r w:rsidRPr="00F5497F">
        <w:t>rare adverse reactions,</w:t>
      </w:r>
    </w:p>
    <w:p w14:paraId="677508D0" w14:textId="77777777" w:rsidR="00CD74B5" w:rsidRPr="00F5497F" w:rsidRDefault="00CD74B5" w:rsidP="009E1C4C">
      <w:pPr>
        <w:numPr>
          <w:ilvl w:val="0"/>
          <w:numId w:val="47"/>
        </w:numPr>
        <w:jc w:val="both"/>
      </w:pPr>
      <w:r w:rsidRPr="00F5497F">
        <w:t>long</w:t>
      </w:r>
      <w:r w:rsidRPr="00F5497F">
        <w:noBreakHyphen/>
        <w:t>term effects,</w:t>
      </w:r>
    </w:p>
    <w:p w14:paraId="0FDFF7AC" w14:textId="52A44B6F" w:rsidR="00CD74B5" w:rsidRPr="00F5497F" w:rsidRDefault="00CD74B5" w:rsidP="009E1C4C">
      <w:pPr>
        <w:numPr>
          <w:ilvl w:val="0"/>
          <w:numId w:val="47"/>
        </w:numPr>
        <w:jc w:val="both"/>
      </w:pPr>
      <w:r w:rsidRPr="00F5497F">
        <w:t>reactions in special populations (children, elderly, pregnant women)</w:t>
      </w:r>
      <w:r w:rsidR="00790C22" w:rsidRPr="00F5497F">
        <w:t xml:space="preserve"> which were not included in clinical trials</w:t>
      </w:r>
      <w:r w:rsidRPr="00F5497F">
        <w:t>, or</w:t>
      </w:r>
    </w:p>
    <w:p w14:paraId="1E2D2860" w14:textId="03EEC5A8" w:rsidR="00CD74B5" w:rsidRPr="00F5497F" w:rsidRDefault="00CD74B5" w:rsidP="00F5497F">
      <w:pPr>
        <w:numPr>
          <w:ilvl w:val="0"/>
          <w:numId w:val="47"/>
        </w:numPr>
        <w:jc w:val="both"/>
      </w:pPr>
      <w:r w:rsidRPr="00F5497F">
        <w:t xml:space="preserve">interactions </w:t>
      </w:r>
      <w:r w:rsidR="00790C22" w:rsidRPr="00F5497F">
        <w:t>with other products during</w:t>
      </w:r>
      <w:r w:rsidRPr="00F5497F">
        <w:t xml:space="preserve"> real</w:t>
      </w:r>
      <w:r w:rsidRPr="00F5497F">
        <w:noBreakHyphen/>
        <w:t>world use.</w:t>
      </w:r>
    </w:p>
    <w:p w14:paraId="4572A8C4" w14:textId="77777777" w:rsidR="00CD74B5" w:rsidRPr="00F5497F" w:rsidRDefault="00CD74B5" w:rsidP="00F5497F">
      <w:pPr>
        <w:ind w:left="720"/>
        <w:jc w:val="both"/>
      </w:pPr>
    </w:p>
    <w:p w14:paraId="5AC14264" w14:textId="2C746C9F" w:rsidR="00CD74B5" w:rsidRPr="00F5497F" w:rsidRDefault="00CD74B5" w:rsidP="009E1C4C">
      <w:pPr>
        <w:jc w:val="both"/>
      </w:pPr>
      <w:r w:rsidRPr="00F5497F">
        <w:t>Once medicines are widely used</w:t>
      </w:r>
      <w:r w:rsidR="00027017" w:rsidRPr="00F5497F">
        <w:t xml:space="preserve"> out</w:t>
      </w:r>
      <w:r w:rsidR="00053157" w:rsidRPr="00F5497F">
        <w:t>side</w:t>
      </w:r>
      <w:r w:rsidR="00027017" w:rsidRPr="00F5497F">
        <w:t xml:space="preserve"> the controlled context of clinical trials</w:t>
      </w:r>
      <w:r w:rsidRPr="00F5497F">
        <w:t>, new safety information may emerge. Continuous monitoring throughout a medicine’s lifecycle is therefore essential</w:t>
      </w:r>
      <w:r w:rsidR="00053157" w:rsidRPr="00F5497F">
        <w:t xml:space="preserve">. This </w:t>
      </w:r>
      <w:r w:rsidRPr="00F5497F">
        <w:t>is known as pharmacovigilance.</w:t>
      </w:r>
      <w:r w:rsidR="0003081B" w:rsidRPr="00F5497F">
        <w:t xml:space="preserve"> </w:t>
      </w:r>
      <w:r w:rsidR="0003081B" w:rsidRPr="00F5497F">
        <w:rPr>
          <w:u w:val="single"/>
        </w:rPr>
        <w:t>The reporting of adverse reactions is a cornerstone of pharmacovigilance.</w:t>
      </w:r>
      <w:r w:rsidR="0003081B" w:rsidRPr="00F5497F">
        <w:t xml:space="preserve"> </w:t>
      </w:r>
    </w:p>
    <w:p w14:paraId="431CD257" w14:textId="255FBF64" w:rsidR="0003081B" w:rsidRPr="00F5497F" w:rsidRDefault="0003081B" w:rsidP="009E1C4C">
      <w:pPr>
        <w:jc w:val="both"/>
      </w:pPr>
    </w:p>
    <w:p w14:paraId="43BE2F8B" w14:textId="468648F4" w:rsidR="00CD74B5" w:rsidRPr="00F5497F" w:rsidRDefault="00CD74B5" w:rsidP="009E1C4C">
      <w:pPr>
        <w:pStyle w:val="Heading1"/>
        <w:numPr>
          <w:ilvl w:val="0"/>
          <w:numId w:val="102"/>
        </w:numPr>
        <w:spacing w:before="0" w:after="180"/>
        <w:ind w:left="425" w:hanging="425"/>
        <w:jc w:val="both"/>
        <w:rPr>
          <w:rFonts w:ascii="Times New Roman" w:hAnsi="Times New Roman" w:cs="Times New Roman"/>
          <w:sz w:val="28"/>
          <w:szCs w:val="28"/>
        </w:rPr>
      </w:pPr>
      <w:bookmarkStart w:id="19" w:name="_Toc236130004"/>
      <w:r w:rsidRPr="00F5497F">
        <w:rPr>
          <w:rFonts w:ascii="Times New Roman" w:hAnsi="Times New Roman" w:cs="Times New Roman"/>
          <w:sz w:val="28"/>
          <w:szCs w:val="28"/>
        </w:rPr>
        <w:t>Pharmacovigilance in Malta</w:t>
      </w:r>
      <w:r w:rsidRPr="00F5497F">
        <w:rPr>
          <w:rFonts w:ascii="Times New Roman" w:hAnsi="Times New Roman" w:cs="Times New Roman"/>
          <w:sz w:val="28"/>
        </w:rPr>
        <w:t xml:space="preserve"> and </w:t>
      </w:r>
      <w:r w:rsidRPr="00F5497F">
        <w:rPr>
          <w:rFonts w:ascii="Times New Roman" w:hAnsi="Times New Roman" w:cs="Times New Roman"/>
          <w:sz w:val="28"/>
          <w:szCs w:val="28"/>
        </w:rPr>
        <w:t>the EU</w:t>
      </w:r>
      <w:bookmarkEnd w:id="19"/>
    </w:p>
    <w:p w14:paraId="49B9EB7B" w14:textId="28A9957B" w:rsidR="00C8019E" w:rsidRPr="00F5497F" w:rsidRDefault="00C8019E" w:rsidP="00C8019E">
      <w:pPr>
        <w:jc w:val="both"/>
        <w:rPr>
          <w:color w:val="000000"/>
        </w:rPr>
      </w:pPr>
      <w:r w:rsidRPr="00F5497F">
        <w:rPr>
          <w:color w:val="000000"/>
        </w:rPr>
        <w:t>The Malta Medicines Authority does not monitor the safety of medicines in isolation, but as part of the wider European Union (EU) pharmacovigilance network coordinated by the European Medicines Agency (EMA). Through this regulatory framework, medicines regulatory authorities from all EU Member States collaborate and share scientific expertise, safety data, and regulatory resources to support the continuous monitoring of medicinal products across the European market.</w:t>
      </w:r>
    </w:p>
    <w:p w14:paraId="7C8BA2E0" w14:textId="77777777" w:rsidR="00C8019E" w:rsidRPr="00F5497F" w:rsidRDefault="00C8019E" w:rsidP="00C8019E">
      <w:pPr>
        <w:jc w:val="both"/>
        <w:rPr>
          <w:color w:val="000000"/>
        </w:rPr>
      </w:pPr>
    </w:p>
    <w:p w14:paraId="13F4595F" w14:textId="76A4F588" w:rsidR="00C8019E" w:rsidRPr="00F5497F" w:rsidRDefault="00C8019E" w:rsidP="00F5497F">
      <w:pPr>
        <w:jc w:val="both"/>
        <w:rPr>
          <w:color w:val="000000"/>
        </w:rPr>
      </w:pPr>
      <w:r w:rsidRPr="00F5497F">
        <w:rPr>
          <w:color w:val="000000"/>
        </w:rPr>
        <w:t xml:space="preserve">Within this </w:t>
      </w:r>
      <w:r w:rsidRPr="00F5497F">
        <w:rPr>
          <w:color w:val="000000"/>
          <w:szCs w:val="24"/>
        </w:rPr>
        <w:t xml:space="preserve">network, safety issues associated with medicinal products are assessed jointly </w:t>
      </w:r>
      <w:r w:rsidR="00A82741" w:rsidRPr="00F5497F">
        <w:rPr>
          <w:color w:val="000000"/>
          <w:szCs w:val="24"/>
        </w:rPr>
        <w:t xml:space="preserve">within the </w:t>
      </w:r>
      <w:bookmarkStart w:id="20" w:name="_Toc45802796"/>
      <w:r w:rsidR="00A82741" w:rsidRPr="00F5497F">
        <w:rPr>
          <w:color w:val="000000"/>
          <w:kern w:val="32"/>
          <w:szCs w:val="24"/>
        </w:rPr>
        <w:t xml:space="preserve">Pharmacovigilance </w:t>
      </w:r>
      <w:bookmarkEnd w:id="20"/>
      <w:r w:rsidR="00A82741" w:rsidRPr="00F5497F">
        <w:rPr>
          <w:color w:val="000000"/>
          <w:szCs w:val="24"/>
        </w:rPr>
        <w:t>Risk Assessment Committee (PRAC)</w:t>
      </w:r>
      <w:r w:rsidRPr="00F5497F">
        <w:rPr>
          <w:color w:val="000000"/>
          <w:szCs w:val="24"/>
        </w:rPr>
        <w:t xml:space="preserve"> </w:t>
      </w:r>
      <w:r w:rsidR="00A82741" w:rsidRPr="00F5497F">
        <w:rPr>
          <w:color w:val="000000"/>
          <w:szCs w:val="24"/>
        </w:rPr>
        <w:t xml:space="preserve">by </w:t>
      </w:r>
      <w:r w:rsidRPr="00F5497F">
        <w:rPr>
          <w:color w:val="000000"/>
          <w:szCs w:val="24"/>
        </w:rPr>
        <w:t>scientific experts from across the EU. This</w:t>
      </w:r>
      <w:r w:rsidRPr="00F5497F">
        <w:rPr>
          <w:color w:val="000000"/>
        </w:rPr>
        <w:t xml:space="preserve"> collaborative approach allows for the pooling of real-world safety data, harmonised scientific evaluation of emerging safety signals, coordinated regulatory decision-making, and the dissemination of standardised safety communications to healthcare professionals and the public across Member States.</w:t>
      </w:r>
    </w:p>
    <w:p w14:paraId="20155DDE" w14:textId="77777777" w:rsidR="00C8019E" w:rsidRPr="00F5497F" w:rsidRDefault="00C8019E" w:rsidP="00C8019E">
      <w:pPr>
        <w:jc w:val="both"/>
        <w:rPr>
          <w:color w:val="000000"/>
        </w:rPr>
      </w:pPr>
    </w:p>
    <w:p w14:paraId="258D7F19" w14:textId="4AED8B63" w:rsidR="00191F1A" w:rsidRPr="00F5497F" w:rsidRDefault="00C8019E" w:rsidP="00C8019E">
      <w:pPr>
        <w:jc w:val="both"/>
        <w:rPr>
          <w:color w:val="000000"/>
          <w:lang w:val="en-US"/>
        </w:rPr>
      </w:pPr>
      <w:r w:rsidRPr="00F5497F">
        <w:rPr>
          <w:color w:val="000000"/>
        </w:rPr>
        <w:t>This system strengthens pharmacovigilance activities by improving the ability to detect rare or previously unrecognised adverse reactions and ensuring that appropriate regulatory action can be taken consistently throughout the EU. The spontaneous reporting of suspected adverse drug reactions by healthcare professionals and patients remains a cornerstone of this system and contributes directly to the ongoing evaluation of the benefit–risk profile of medicinal products at both national and EU level.</w:t>
      </w:r>
    </w:p>
    <w:p w14:paraId="40519E1A" w14:textId="6E2315D4" w:rsidR="00191F1A" w:rsidRPr="00F5497F" w:rsidRDefault="00191F1A" w:rsidP="00F5497F">
      <w:pPr>
        <w:pStyle w:val="Heading1"/>
        <w:numPr>
          <w:ilvl w:val="1"/>
          <w:numId w:val="102"/>
        </w:numPr>
        <w:tabs>
          <w:tab w:val="left" w:pos="567"/>
        </w:tabs>
        <w:spacing w:after="180"/>
        <w:ind w:left="567" w:hanging="567"/>
        <w:jc w:val="both"/>
        <w:rPr>
          <w:rFonts w:ascii="Times New Roman" w:hAnsi="Times New Roman" w:cs="Times New Roman"/>
          <w:sz w:val="26"/>
        </w:rPr>
      </w:pPr>
      <w:bookmarkStart w:id="21" w:name="_Toc454543993"/>
      <w:bookmarkStart w:id="22" w:name="_Toc229133523"/>
      <w:bookmarkStart w:id="23" w:name="_Toc229574379"/>
      <w:bookmarkStart w:id="24" w:name="_Toc236130005"/>
      <w:r w:rsidRPr="00F5497F">
        <w:rPr>
          <w:rFonts w:ascii="Times New Roman" w:hAnsi="Times New Roman" w:cs="Times New Roman"/>
          <w:sz w:val="26"/>
        </w:rPr>
        <w:t>Legal basis for National ADR Reporting</w:t>
      </w:r>
      <w:bookmarkEnd w:id="21"/>
      <w:bookmarkEnd w:id="22"/>
      <w:bookmarkEnd w:id="23"/>
      <w:bookmarkEnd w:id="24"/>
    </w:p>
    <w:p w14:paraId="162B11E1" w14:textId="77777777" w:rsidR="00191F1A" w:rsidRPr="00F5497F" w:rsidRDefault="00191F1A" w:rsidP="00191F1A">
      <w:pPr>
        <w:pStyle w:val="CommentText"/>
        <w:jc w:val="both"/>
        <w:rPr>
          <w:color w:val="000000"/>
          <w:sz w:val="24"/>
        </w:rPr>
      </w:pPr>
      <w:r w:rsidRPr="00F5497F">
        <w:rPr>
          <w:color w:val="000000"/>
          <w:sz w:val="24"/>
        </w:rPr>
        <w:t xml:space="preserve">The Malta Medicines Authority was set up in 2003, </w:t>
      </w:r>
      <w:proofErr w:type="gramStart"/>
      <w:r w:rsidRPr="00F5497F">
        <w:rPr>
          <w:color w:val="000000"/>
          <w:sz w:val="24"/>
        </w:rPr>
        <w:t>in order to</w:t>
      </w:r>
      <w:proofErr w:type="gramEnd"/>
      <w:r w:rsidRPr="00F5497F">
        <w:rPr>
          <w:color w:val="000000"/>
          <w:sz w:val="24"/>
        </w:rPr>
        <w:t xml:space="preserve"> implement provision in Maltese (Medicines Act of 2003) and European Laws (EU Directive 2001/83/EC). This included the setting up of a national pharmacovigilance system and a system for local ADR reporting. </w:t>
      </w:r>
    </w:p>
    <w:p w14:paraId="0D59B4B1" w14:textId="77777777" w:rsidR="00191F1A" w:rsidRPr="00F5497F" w:rsidRDefault="00191F1A" w:rsidP="00191F1A">
      <w:pPr>
        <w:pStyle w:val="CommentText"/>
        <w:jc w:val="both"/>
        <w:rPr>
          <w:color w:val="000000"/>
          <w:sz w:val="24"/>
        </w:rPr>
      </w:pPr>
    </w:p>
    <w:p w14:paraId="45759682" w14:textId="77777777" w:rsidR="00191F1A" w:rsidRPr="00F5497F" w:rsidRDefault="00191F1A" w:rsidP="00191F1A">
      <w:pPr>
        <w:pStyle w:val="CommentText"/>
        <w:jc w:val="both"/>
        <w:rPr>
          <w:color w:val="000000"/>
          <w:sz w:val="24"/>
        </w:rPr>
      </w:pPr>
      <w:r w:rsidRPr="00F5497F">
        <w:rPr>
          <w:color w:val="000000"/>
          <w:sz w:val="24"/>
        </w:rPr>
        <w:t>National Pharmacovigilance was strengthened and rationalised with the national implementation of new EU</w:t>
      </w:r>
      <w:r w:rsidRPr="00F5497F">
        <w:t xml:space="preserve"> </w:t>
      </w:r>
      <w:r w:rsidRPr="00F5497F">
        <w:rPr>
          <w:color w:val="000000"/>
          <w:sz w:val="24"/>
        </w:rPr>
        <w:t>Pharmacovigilance legislation published in 2010 (</w:t>
      </w:r>
      <w:hyperlink r:id="rId19" w:history="1">
        <w:r w:rsidRPr="00F5497F">
          <w:rPr>
            <w:rStyle w:val="Hyperlink"/>
            <w:sz w:val="24"/>
          </w:rPr>
          <w:t>Directive 2010/84/EU</w:t>
        </w:r>
      </w:hyperlink>
      <w:r w:rsidRPr="00F5497F">
        <w:rPr>
          <w:color w:val="000000"/>
          <w:sz w:val="24"/>
        </w:rPr>
        <w:t>) and 2012 (</w:t>
      </w:r>
      <w:hyperlink r:id="rId20" w:history="1">
        <w:r w:rsidRPr="00F5497F">
          <w:rPr>
            <w:rStyle w:val="Hyperlink"/>
            <w:sz w:val="24"/>
          </w:rPr>
          <w:t>Directive 2012/26/EU</w:t>
        </w:r>
      </w:hyperlink>
      <w:r w:rsidRPr="00F5497F">
        <w:rPr>
          <w:color w:val="000000"/>
          <w:sz w:val="24"/>
        </w:rPr>
        <w:t xml:space="preserve">) and </w:t>
      </w:r>
      <w:hyperlink r:id="rId21" w:history="1">
        <w:r w:rsidRPr="00F5497F">
          <w:rPr>
            <w:rStyle w:val="Hyperlink"/>
            <w:sz w:val="24"/>
          </w:rPr>
          <w:t>Commission Implementing Regulation (EU) 520/2012</w:t>
        </w:r>
      </w:hyperlink>
      <w:r w:rsidRPr="00F5497F">
        <w:rPr>
          <w:color w:val="000000"/>
          <w:sz w:val="24"/>
        </w:rPr>
        <w:t>. These new laws brought new tasks (</w:t>
      </w:r>
      <w:r w:rsidR="006C3A63" w:rsidRPr="00F5497F">
        <w:rPr>
          <w:color w:val="000000"/>
          <w:sz w:val="24"/>
        </w:rPr>
        <w:t>e.g.</w:t>
      </w:r>
      <w:r w:rsidRPr="00F5497F">
        <w:rPr>
          <w:color w:val="000000"/>
          <w:sz w:val="24"/>
        </w:rPr>
        <w:t xml:space="preserve"> mandatory reporting of medication </w:t>
      </w:r>
      <w:r w:rsidRPr="00F5497F">
        <w:rPr>
          <w:color w:val="000000"/>
          <w:sz w:val="24"/>
        </w:rPr>
        <w:lastRenderedPageBreak/>
        <w:t xml:space="preserve">errors) into force and other existing task were further streamlined for both regulators and the pharmaceutical industry across the EU. </w:t>
      </w:r>
    </w:p>
    <w:p w14:paraId="4B1BD982" w14:textId="77777777" w:rsidR="0003081B" w:rsidRPr="00F5497F" w:rsidRDefault="0003081B" w:rsidP="00F5497F">
      <w:pPr>
        <w:jc w:val="both"/>
        <w:rPr>
          <w:color w:val="000000"/>
        </w:rPr>
      </w:pPr>
    </w:p>
    <w:p w14:paraId="067439BB" w14:textId="53096851" w:rsidR="00191F1A" w:rsidRPr="00F5497F" w:rsidRDefault="00191F1A" w:rsidP="00191F1A">
      <w:pPr>
        <w:jc w:val="both"/>
        <w:rPr>
          <w:color w:val="000000"/>
        </w:rPr>
      </w:pPr>
      <w:r w:rsidRPr="00F5497F">
        <w:rPr>
          <w:color w:val="000000"/>
        </w:rPr>
        <w:t xml:space="preserve">According to the Pharmacovigilance Regulations set out in </w:t>
      </w:r>
      <w:hyperlink r:id="rId22" w:history="1">
        <w:r w:rsidRPr="00F5497F">
          <w:rPr>
            <w:rStyle w:val="Hyperlink"/>
          </w:rPr>
          <w:t>S.L.458.35</w:t>
        </w:r>
      </w:hyperlink>
      <w:r w:rsidRPr="00F5497F">
        <w:rPr>
          <w:color w:val="000000"/>
        </w:rPr>
        <w:t>, doctors and healthcare professionals are duty bound to “immediately report to the Authority any suspected adverse reaction to a medicinal product in Malta”</w:t>
      </w:r>
      <w:r w:rsidRPr="00F5497F">
        <w:rPr>
          <w:rStyle w:val="FootnoteReference"/>
          <w:color w:val="000000"/>
        </w:rPr>
        <w:footnoteReference w:id="2"/>
      </w:r>
      <w:r w:rsidRPr="00F5497F">
        <w:rPr>
          <w:color w:val="000000"/>
        </w:rPr>
        <w:t xml:space="preserve"> </w:t>
      </w:r>
    </w:p>
    <w:p w14:paraId="33D764D2" w14:textId="77777777" w:rsidR="00191F1A" w:rsidRPr="00F5497F" w:rsidRDefault="00191F1A" w:rsidP="00191F1A">
      <w:pPr>
        <w:pStyle w:val="CommentText"/>
        <w:jc w:val="both"/>
      </w:pPr>
    </w:p>
    <w:p w14:paraId="6943945E" w14:textId="77777777" w:rsidR="00191F1A" w:rsidRPr="00F5497F" w:rsidRDefault="00191F1A" w:rsidP="00191F1A">
      <w:pPr>
        <w:jc w:val="both"/>
        <w:rPr>
          <w:color w:val="000000"/>
        </w:rPr>
      </w:pPr>
      <w:r w:rsidRPr="00F5497F">
        <w:rPr>
          <w:color w:val="000000"/>
        </w:rPr>
        <w:t xml:space="preserve">This system remains the primary means of data collection for post-authorisation safety surveillance of medicinal products in Malta. </w:t>
      </w:r>
    </w:p>
    <w:p w14:paraId="609FD04F" w14:textId="77777777" w:rsidR="00191F1A" w:rsidRPr="00F5497F" w:rsidRDefault="00191F1A" w:rsidP="00191F1A">
      <w:pPr>
        <w:jc w:val="both"/>
        <w:rPr>
          <w:color w:val="000000"/>
        </w:rPr>
      </w:pPr>
    </w:p>
    <w:p w14:paraId="6E0751B2" w14:textId="2AF3C079" w:rsidR="00191F1A" w:rsidRPr="00F5497F" w:rsidRDefault="00191F1A" w:rsidP="00F5497F">
      <w:pPr>
        <w:pStyle w:val="Heading1"/>
        <w:numPr>
          <w:ilvl w:val="1"/>
          <w:numId w:val="102"/>
        </w:numPr>
        <w:tabs>
          <w:tab w:val="left" w:pos="567"/>
        </w:tabs>
        <w:spacing w:after="180"/>
        <w:ind w:left="567" w:hanging="567"/>
        <w:jc w:val="both"/>
        <w:rPr>
          <w:rFonts w:ascii="Times New Roman" w:hAnsi="Times New Roman" w:cs="Times New Roman"/>
          <w:sz w:val="26"/>
        </w:rPr>
      </w:pPr>
      <w:bookmarkStart w:id="25" w:name="_Toc229133524"/>
      <w:bookmarkStart w:id="26" w:name="_Toc229574380"/>
      <w:bookmarkStart w:id="27" w:name="_Toc236130006"/>
      <w:r w:rsidRPr="00F5497F">
        <w:rPr>
          <w:rFonts w:ascii="Times New Roman" w:hAnsi="Times New Roman" w:cs="Times New Roman"/>
          <w:sz w:val="26"/>
        </w:rPr>
        <w:t>Additional Monitoring</w:t>
      </w:r>
      <w:bookmarkEnd w:id="25"/>
      <w:bookmarkEnd w:id="26"/>
      <w:bookmarkEnd w:id="27"/>
    </w:p>
    <w:p w14:paraId="29D60231" w14:textId="7A87D43A" w:rsidR="00191F1A" w:rsidRPr="00F5497F" w:rsidRDefault="00191F1A" w:rsidP="00191F1A">
      <w:pPr>
        <w:jc w:val="both"/>
        <w:rPr>
          <w:color w:val="000000"/>
        </w:rPr>
      </w:pPr>
      <w:r w:rsidRPr="00F5497F">
        <w:rPr>
          <w:color w:val="000000"/>
        </w:rPr>
        <w:t xml:space="preserve">Following the implementation of the pharmacovigilance legislation in 2012, the concept of additional monitoring was introduced.  Drugs requiring additional monitoring are marked with an inverted black triangle to denote this requirement.  </w:t>
      </w:r>
      <w:r w:rsidR="000F438F" w:rsidRPr="00F5497F">
        <w:rPr>
          <w:noProof/>
        </w:rPr>
        <w:drawing>
          <wp:inline distT="0" distB="0" distL="0" distR="0" wp14:anchorId="7E7DA68C" wp14:editId="5084323B">
            <wp:extent cx="120650" cy="107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0650" cy="107950"/>
                    </a:xfrm>
                    <a:prstGeom prst="rect">
                      <a:avLst/>
                    </a:prstGeom>
                    <a:noFill/>
                    <a:ln>
                      <a:noFill/>
                    </a:ln>
                  </pic:spPr>
                </pic:pic>
              </a:graphicData>
            </a:graphic>
          </wp:inline>
        </w:drawing>
      </w:r>
    </w:p>
    <w:p w14:paraId="121ED444" w14:textId="77777777" w:rsidR="00191F1A" w:rsidRPr="00F5497F" w:rsidRDefault="00191F1A" w:rsidP="00191F1A">
      <w:pPr>
        <w:jc w:val="both"/>
        <w:rPr>
          <w:color w:val="000000"/>
        </w:rPr>
      </w:pPr>
    </w:p>
    <w:p w14:paraId="43C1EC9A" w14:textId="77777777" w:rsidR="00191F1A" w:rsidRPr="00F5497F" w:rsidRDefault="00191F1A" w:rsidP="00191F1A">
      <w:pPr>
        <w:jc w:val="both"/>
        <w:rPr>
          <w:color w:val="000000"/>
        </w:rPr>
      </w:pPr>
      <w:r w:rsidRPr="00F5497F">
        <w:rPr>
          <w:color w:val="000000"/>
        </w:rPr>
        <w:t>After authorisation, all medicinal products are subject to continuous monitoring.  In the case of drugs which are newly approved or where limited data is available on their long-term use, it might be required to have additional monitoring in place.  This does not mean that the medicine is unsafe but rather to boost reporting of adverse drug reactions and collect information early in the lifecycle of this product.  Subsequently this will lead to safer and more effective use of these medicines when used in everyday medical practice.</w:t>
      </w:r>
    </w:p>
    <w:p w14:paraId="019E96C2" w14:textId="77777777" w:rsidR="00356DA6" w:rsidRPr="00F5497F" w:rsidRDefault="00356DA6" w:rsidP="009E1C4C">
      <w:pPr>
        <w:jc w:val="both"/>
        <w:rPr>
          <w:color w:val="000000"/>
        </w:rPr>
      </w:pPr>
    </w:p>
    <w:p w14:paraId="3C0A368A" w14:textId="642B9BA6" w:rsidR="002B5FAF" w:rsidRPr="00F5497F" w:rsidRDefault="002B5FAF" w:rsidP="009E1C4C">
      <w:pPr>
        <w:jc w:val="both"/>
        <w:rPr>
          <w:color w:val="4472C4"/>
        </w:rPr>
      </w:pPr>
      <w:bookmarkStart w:id="28" w:name="_Toc45802797"/>
    </w:p>
    <w:p w14:paraId="6EDB3076" w14:textId="77777777" w:rsidR="004D08F0" w:rsidRPr="00F5497F" w:rsidRDefault="005E482C" w:rsidP="00F5497F">
      <w:pPr>
        <w:pStyle w:val="Heading1"/>
        <w:numPr>
          <w:ilvl w:val="0"/>
          <w:numId w:val="102"/>
        </w:numPr>
        <w:spacing w:before="0" w:after="240"/>
        <w:ind w:left="426" w:hanging="426"/>
        <w:jc w:val="both"/>
        <w:rPr>
          <w:rFonts w:ascii="Times New Roman" w:hAnsi="Times New Roman" w:cs="Times New Roman"/>
          <w:sz w:val="28"/>
        </w:rPr>
      </w:pPr>
      <w:bookmarkStart w:id="29" w:name="_Toc454543997"/>
      <w:bookmarkStart w:id="30" w:name="_Toc236130007"/>
      <w:r w:rsidRPr="00F5497F">
        <w:rPr>
          <w:rFonts w:ascii="Times New Roman" w:hAnsi="Times New Roman" w:cs="Times New Roman"/>
          <w:sz w:val="28"/>
        </w:rPr>
        <w:t xml:space="preserve">How to report ADRs in </w:t>
      </w:r>
      <w:bookmarkEnd w:id="29"/>
      <w:r w:rsidRPr="00F5497F">
        <w:rPr>
          <w:rFonts w:ascii="Times New Roman" w:hAnsi="Times New Roman" w:cs="Times New Roman"/>
          <w:sz w:val="28"/>
        </w:rPr>
        <w:t>Malta</w:t>
      </w:r>
      <w:bookmarkEnd w:id="28"/>
      <w:bookmarkEnd w:id="30"/>
    </w:p>
    <w:p w14:paraId="69DF0C7C" w14:textId="77777777" w:rsidR="008806D5" w:rsidRPr="00F5497F" w:rsidRDefault="008806D5" w:rsidP="009E1C4C">
      <w:pPr>
        <w:pStyle w:val="Heading1"/>
        <w:numPr>
          <w:ilvl w:val="1"/>
          <w:numId w:val="102"/>
        </w:numPr>
        <w:tabs>
          <w:tab w:val="left" w:pos="567"/>
        </w:tabs>
        <w:spacing w:after="180"/>
        <w:ind w:left="567" w:hanging="567"/>
        <w:jc w:val="both"/>
        <w:rPr>
          <w:rFonts w:ascii="Times New Roman" w:hAnsi="Times New Roman" w:cs="Times New Roman"/>
          <w:sz w:val="26"/>
          <w:szCs w:val="26"/>
        </w:rPr>
      </w:pPr>
      <w:bookmarkStart w:id="31" w:name="_Toc229133526"/>
      <w:bookmarkStart w:id="32" w:name="_Toc229574382"/>
      <w:bookmarkStart w:id="33" w:name="_Toc236130008"/>
      <w:r w:rsidRPr="00F5497F">
        <w:rPr>
          <w:rFonts w:ascii="Times New Roman" w:hAnsi="Times New Roman" w:cs="Times New Roman"/>
          <w:sz w:val="26"/>
          <w:szCs w:val="26"/>
        </w:rPr>
        <w:t>Who should report</w:t>
      </w:r>
      <w:bookmarkEnd w:id="31"/>
      <w:bookmarkEnd w:id="32"/>
      <w:bookmarkEnd w:id="33"/>
    </w:p>
    <w:p w14:paraId="2CEEE75C" w14:textId="7E3EE873" w:rsidR="009725FC" w:rsidRPr="00F5497F" w:rsidRDefault="005E482C" w:rsidP="00F5497F">
      <w:pPr>
        <w:jc w:val="both"/>
      </w:pPr>
      <w:r w:rsidRPr="00F5497F">
        <w:t>All healthcare professionals are encouraged to report suspected Adverse Drug Reactions and Medication Errors</w:t>
      </w:r>
      <w:r w:rsidR="002B0BBB" w:rsidRPr="00F5497F">
        <w:t>.</w:t>
      </w:r>
      <w:r w:rsidR="001A7A75" w:rsidRPr="00F5497F">
        <w:t xml:space="preserve">  </w:t>
      </w:r>
    </w:p>
    <w:p w14:paraId="642E86FE" w14:textId="77777777" w:rsidR="00BC459D" w:rsidRPr="00F5497F" w:rsidRDefault="00BC459D" w:rsidP="009E1C4C">
      <w:pPr>
        <w:jc w:val="both"/>
      </w:pPr>
    </w:p>
    <w:p w14:paraId="67FD9E8E" w14:textId="0950C1D9" w:rsidR="007B18AE" w:rsidRPr="00F5497F" w:rsidRDefault="009725FC" w:rsidP="009E1C4C">
      <w:pPr>
        <w:jc w:val="both"/>
      </w:pPr>
      <w:r w:rsidRPr="00F5497F">
        <w:t xml:space="preserve">You do not need to be certain that the medicine caused the reaction. Reporting is encouraged on </w:t>
      </w:r>
      <w:r w:rsidR="00375A22" w:rsidRPr="00F5497F">
        <w:t xml:space="preserve">reasonable </w:t>
      </w:r>
      <w:r w:rsidRPr="00F5497F">
        <w:t>suspicion.</w:t>
      </w:r>
    </w:p>
    <w:p w14:paraId="07B89717" w14:textId="77777777" w:rsidR="008806D5" w:rsidRPr="00F5497F" w:rsidRDefault="008806D5" w:rsidP="009E1C4C">
      <w:pPr>
        <w:jc w:val="both"/>
      </w:pPr>
    </w:p>
    <w:p w14:paraId="4F88F73D" w14:textId="77777777" w:rsidR="008806D5" w:rsidRPr="00F5497F" w:rsidRDefault="008806D5" w:rsidP="009E1C4C">
      <w:pPr>
        <w:pStyle w:val="Heading1"/>
        <w:numPr>
          <w:ilvl w:val="1"/>
          <w:numId w:val="102"/>
        </w:numPr>
        <w:tabs>
          <w:tab w:val="left" w:pos="567"/>
        </w:tabs>
        <w:spacing w:after="180"/>
        <w:ind w:left="567" w:hanging="567"/>
        <w:jc w:val="both"/>
        <w:rPr>
          <w:rFonts w:ascii="Times New Roman" w:hAnsi="Times New Roman" w:cs="Times New Roman"/>
          <w:sz w:val="26"/>
          <w:szCs w:val="26"/>
        </w:rPr>
      </w:pPr>
      <w:bookmarkStart w:id="34" w:name="_Toc229133527"/>
      <w:bookmarkStart w:id="35" w:name="_Toc229574383"/>
      <w:bookmarkStart w:id="36" w:name="_Toc236130009"/>
      <w:r w:rsidRPr="00F5497F">
        <w:rPr>
          <w:rFonts w:ascii="Times New Roman" w:hAnsi="Times New Roman" w:cs="Times New Roman"/>
          <w:sz w:val="26"/>
          <w:szCs w:val="26"/>
        </w:rPr>
        <w:t>How to report</w:t>
      </w:r>
      <w:bookmarkEnd w:id="34"/>
      <w:bookmarkEnd w:id="35"/>
      <w:bookmarkEnd w:id="36"/>
    </w:p>
    <w:p w14:paraId="5481CD9B" w14:textId="77777777" w:rsidR="00C033D4" w:rsidRPr="00F5497F" w:rsidRDefault="00C033D4" w:rsidP="009E1C4C">
      <w:pPr>
        <w:jc w:val="both"/>
        <w:rPr>
          <w:b/>
          <w:bCs/>
        </w:rPr>
      </w:pPr>
      <w:r w:rsidRPr="00F5497F">
        <w:t>Healthcare professionals (</w:t>
      </w:r>
      <w:r w:rsidR="004A4D73" w:rsidRPr="00F5497F">
        <w:t>HCPs) may</w:t>
      </w:r>
      <w:r w:rsidR="001A7A75" w:rsidRPr="00F5497F">
        <w:t xml:space="preserve"> download </w:t>
      </w:r>
      <w:r w:rsidR="008806D5" w:rsidRPr="00F5497F">
        <w:t xml:space="preserve">the ADR reporting form </w:t>
      </w:r>
      <w:r w:rsidRPr="00F5497F">
        <w:t xml:space="preserve">from </w:t>
      </w:r>
      <w:r w:rsidR="001A7A75" w:rsidRPr="00F5497F">
        <w:t xml:space="preserve">the </w:t>
      </w:r>
      <w:hyperlink r:id="rId24" w:history="1">
        <w:r w:rsidRPr="00F5497F">
          <w:t>Malta Medicines Authority (MMA) website</w:t>
        </w:r>
      </w:hyperlink>
      <w:r w:rsidR="008806D5" w:rsidRPr="00F5497F">
        <w:t>,</w:t>
      </w:r>
      <w:r w:rsidR="00375A22" w:rsidRPr="00F5497F">
        <w:t xml:space="preserve"> [https://medicinesauthority.gov.mt/adrportal?l=1]</w:t>
      </w:r>
      <w:r w:rsidR="008806D5" w:rsidRPr="00F5497F">
        <w:t xml:space="preserve"> and can </w:t>
      </w:r>
      <w:r w:rsidR="00596CBD" w:rsidRPr="00F5497F">
        <w:t>either</w:t>
      </w:r>
      <w:r w:rsidR="002B0BBB" w:rsidRPr="00F5497F">
        <w:t>:</w:t>
      </w:r>
    </w:p>
    <w:p w14:paraId="12B9831C" w14:textId="77777777" w:rsidR="00C033D4" w:rsidRPr="00F5497F" w:rsidRDefault="00C033D4" w:rsidP="009E1C4C">
      <w:pPr>
        <w:jc w:val="both"/>
      </w:pPr>
    </w:p>
    <w:p w14:paraId="71E78DCE" w14:textId="77777777" w:rsidR="00C033D4" w:rsidRPr="00F5497F" w:rsidRDefault="00C033D4" w:rsidP="009E1C4C">
      <w:pPr>
        <w:spacing w:after="120"/>
        <w:jc w:val="both"/>
        <w:rPr>
          <w:b/>
          <w:bCs/>
        </w:rPr>
      </w:pPr>
      <w:r w:rsidRPr="00F5497F">
        <w:rPr>
          <w:b/>
          <w:bCs/>
        </w:rPr>
        <w:t>Option 1: Submission to the Malta Medicines Authority</w:t>
      </w:r>
    </w:p>
    <w:p w14:paraId="5B38005C" w14:textId="77777777" w:rsidR="00C033D4" w:rsidRPr="00F5497F" w:rsidRDefault="00C033D4" w:rsidP="009E1C4C">
      <w:pPr>
        <w:jc w:val="both"/>
      </w:pPr>
      <w:r w:rsidRPr="00F5497F">
        <w:t>The ADR reporting form may be:</w:t>
      </w:r>
    </w:p>
    <w:p w14:paraId="0E72B240" w14:textId="77777777" w:rsidR="00C033D4" w:rsidRPr="00F5497F" w:rsidRDefault="00C033D4" w:rsidP="009E1C4C">
      <w:pPr>
        <w:numPr>
          <w:ilvl w:val="0"/>
          <w:numId w:val="65"/>
        </w:numPr>
        <w:jc w:val="both"/>
      </w:pPr>
      <w:r w:rsidRPr="00F5497F">
        <w:t xml:space="preserve">completed in ink and scanned, </w:t>
      </w:r>
      <w:r w:rsidRPr="00F5497F">
        <w:rPr>
          <w:b/>
          <w:bCs/>
        </w:rPr>
        <w:t>or</w:t>
      </w:r>
    </w:p>
    <w:p w14:paraId="612CF925" w14:textId="77777777" w:rsidR="00C033D4" w:rsidRPr="00F5497F" w:rsidRDefault="00C033D4" w:rsidP="009E1C4C">
      <w:pPr>
        <w:numPr>
          <w:ilvl w:val="0"/>
          <w:numId w:val="65"/>
        </w:numPr>
        <w:jc w:val="both"/>
      </w:pPr>
      <w:r w:rsidRPr="00F5497F">
        <w:t>completed electronically using Microsoft Word,</w:t>
      </w:r>
    </w:p>
    <w:p w14:paraId="155EED9D" w14:textId="77777777" w:rsidR="00C033D4" w:rsidRPr="00F5497F" w:rsidRDefault="00C033D4" w:rsidP="009E1C4C">
      <w:pPr>
        <w:spacing w:before="60"/>
        <w:jc w:val="both"/>
      </w:pPr>
      <w:r w:rsidRPr="00F5497F">
        <w:t xml:space="preserve">and sent by email to </w:t>
      </w:r>
      <w:hyperlink r:id="rId25" w:history="1">
        <w:r w:rsidRPr="00F5497F">
          <w:rPr>
            <w:rStyle w:val="Hyperlink"/>
          </w:rPr>
          <w:t>postlicensing.medicinesauthority@gov.mt</w:t>
        </w:r>
      </w:hyperlink>
      <w:r w:rsidRPr="00F5497F">
        <w:rPr>
          <w:b/>
          <w:bCs/>
        </w:rPr>
        <w:t xml:space="preserve"> </w:t>
      </w:r>
    </w:p>
    <w:p w14:paraId="75CE6C76" w14:textId="77777777" w:rsidR="00C033D4" w:rsidRPr="00F5497F" w:rsidRDefault="00C033D4" w:rsidP="009E1C4C">
      <w:pPr>
        <w:jc w:val="both"/>
      </w:pPr>
    </w:p>
    <w:p w14:paraId="0B23CF33" w14:textId="77777777" w:rsidR="00E042BA" w:rsidRPr="00F5497F" w:rsidRDefault="00C033D4" w:rsidP="00F5497F">
      <w:pPr>
        <w:spacing w:after="120"/>
        <w:jc w:val="both"/>
      </w:pPr>
      <w:r w:rsidRPr="00F5497F">
        <w:t>Alternatively, the completed form may be sent by free postage to:</w:t>
      </w:r>
    </w:p>
    <w:p w14:paraId="77D09364" w14:textId="77777777" w:rsidR="005E482C" w:rsidRPr="00F5497F" w:rsidRDefault="00831EF0" w:rsidP="002A1DA4">
      <w:pPr>
        <w:pStyle w:val="NormalWeb"/>
        <w:spacing w:before="0" w:beforeAutospacing="0" w:after="0" w:afterAutospacing="0"/>
        <w:jc w:val="center"/>
      </w:pPr>
      <w:r w:rsidRPr="00F5497F">
        <w:rPr>
          <w:lang w:eastAsia="en-GB"/>
        </w:rPr>
        <w:t>Malta</w:t>
      </w:r>
      <w:r w:rsidRPr="00F5497F">
        <w:t xml:space="preserve"> </w:t>
      </w:r>
      <w:r w:rsidR="005E482C" w:rsidRPr="00F5497F">
        <w:t>Medicines Authority</w:t>
      </w:r>
    </w:p>
    <w:p w14:paraId="17B3688E" w14:textId="77777777" w:rsidR="005E482C" w:rsidRPr="00F5497F" w:rsidRDefault="005E482C" w:rsidP="002A1DA4">
      <w:pPr>
        <w:pStyle w:val="NormalWeb"/>
        <w:spacing w:before="0" w:beforeAutospacing="0" w:after="0" w:afterAutospacing="0"/>
        <w:jc w:val="center"/>
      </w:pPr>
      <w:r w:rsidRPr="00F5497F">
        <w:t xml:space="preserve">Sir Temi </w:t>
      </w:r>
      <w:r w:rsidR="002A249F" w:rsidRPr="00F5497F">
        <w:rPr>
          <w:lang w:val="mt-MT"/>
        </w:rPr>
        <w:t>Ż</w:t>
      </w:r>
      <w:proofErr w:type="spellStart"/>
      <w:r w:rsidRPr="00F5497F">
        <w:t>ammit</w:t>
      </w:r>
      <w:proofErr w:type="spellEnd"/>
      <w:r w:rsidRPr="00F5497F">
        <w:t xml:space="preserve"> Buildings</w:t>
      </w:r>
    </w:p>
    <w:p w14:paraId="58BEC190" w14:textId="77777777" w:rsidR="005E482C" w:rsidRPr="00F5497F" w:rsidRDefault="005E482C" w:rsidP="002A1DA4">
      <w:pPr>
        <w:pStyle w:val="NormalWeb"/>
        <w:spacing w:before="0" w:beforeAutospacing="0" w:after="0" w:afterAutospacing="0"/>
        <w:jc w:val="center"/>
      </w:pPr>
      <w:r w:rsidRPr="00F5497F">
        <w:t>Malta LifeSciences Park</w:t>
      </w:r>
    </w:p>
    <w:p w14:paraId="29149113" w14:textId="77777777" w:rsidR="005E482C" w:rsidRPr="00F5497F" w:rsidRDefault="005E482C" w:rsidP="002A1DA4">
      <w:pPr>
        <w:pStyle w:val="NormalWeb"/>
        <w:spacing w:before="0" w:beforeAutospacing="0" w:after="0" w:afterAutospacing="0"/>
        <w:jc w:val="center"/>
      </w:pPr>
      <w:r w:rsidRPr="00F5497F">
        <w:t xml:space="preserve">San </w:t>
      </w:r>
      <w:r w:rsidR="002A249F" w:rsidRPr="00F5497F">
        <w:rPr>
          <w:lang w:val="mt-MT"/>
        </w:rPr>
        <w:t>Ġ</w:t>
      </w:r>
      <w:proofErr w:type="spellStart"/>
      <w:r w:rsidRPr="00F5497F">
        <w:t>wann</w:t>
      </w:r>
      <w:proofErr w:type="spellEnd"/>
      <w:r w:rsidRPr="00F5497F">
        <w:t xml:space="preserve"> S</w:t>
      </w:r>
      <w:r w:rsidR="002A249F" w:rsidRPr="00F5497F">
        <w:rPr>
          <w:lang w:val="mt-MT"/>
        </w:rPr>
        <w:t>Ġ</w:t>
      </w:r>
      <w:r w:rsidRPr="00F5497F">
        <w:t>N 3000</w:t>
      </w:r>
    </w:p>
    <w:p w14:paraId="150E3EA0" w14:textId="7A2967AA" w:rsidR="00C033D4" w:rsidRPr="00F5497F" w:rsidRDefault="00C033D4" w:rsidP="00356DA6">
      <w:pPr>
        <w:jc w:val="center"/>
        <w:rPr>
          <w:b/>
          <w:bCs/>
        </w:rPr>
      </w:pPr>
    </w:p>
    <w:p w14:paraId="5E8546DB" w14:textId="77777777" w:rsidR="00356DA6" w:rsidRPr="00F5497F" w:rsidRDefault="00356DA6" w:rsidP="00356DA6">
      <w:pPr>
        <w:jc w:val="center"/>
        <w:rPr>
          <w:b/>
          <w:bCs/>
        </w:rPr>
      </w:pPr>
    </w:p>
    <w:p w14:paraId="39FC2B62" w14:textId="77777777" w:rsidR="00356DA6" w:rsidRPr="00F5497F" w:rsidRDefault="00356DA6" w:rsidP="002A1DA4">
      <w:pPr>
        <w:jc w:val="center"/>
        <w:rPr>
          <w:b/>
          <w:bCs/>
        </w:rPr>
      </w:pPr>
    </w:p>
    <w:p w14:paraId="1A1910B1" w14:textId="77777777" w:rsidR="00C033D4" w:rsidRPr="00F5497F" w:rsidRDefault="00C033D4" w:rsidP="009E1C4C">
      <w:pPr>
        <w:spacing w:before="120" w:after="120"/>
        <w:jc w:val="both"/>
        <w:rPr>
          <w:b/>
          <w:bCs/>
        </w:rPr>
      </w:pPr>
      <w:r w:rsidRPr="00F5497F">
        <w:rPr>
          <w:b/>
          <w:bCs/>
        </w:rPr>
        <w:t>Option 2: Submission to the Marketing Authorisation Holder</w:t>
      </w:r>
    </w:p>
    <w:p w14:paraId="4EA211B8" w14:textId="63BF0C9A" w:rsidR="00C033D4" w:rsidRPr="00F5497F" w:rsidRDefault="000F438F" w:rsidP="00F5497F">
      <w:pPr>
        <w:jc w:val="both"/>
      </w:pPr>
      <w:r w:rsidRPr="00F5497F">
        <w:rPr>
          <w:noProof/>
        </w:rPr>
        <mc:AlternateContent>
          <mc:Choice Requires="wps">
            <w:drawing>
              <wp:anchor distT="45720" distB="45720" distL="114300" distR="114300" simplePos="0" relativeHeight="251658241" behindDoc="0" locked="0" layoutInCell="1" allowOverlap="1" wp14:anchorId="3BB3E753" wp14:editId="6A34FDF8">
                <wp:simplePos x="0" y="0"/>
                <wp:positionH relativeFrom="column">
                  <wp:posOffset>-66675</wp:posOffset>
                </wp:positionH>
                <wp:positionV relativeFrom="paragraph">
                  <wp:posOffset>697230</wp:posOffset>
                </wp:positionV>
                <wp:extent cx="5900420" cy="451485"/>
                <wp:effectExtent l="9525" t="7620" r="5080" b="7620"/>
                <wp:wrapSquare wrapText="bothSides"/>
                <wp:docPr id="11583697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0420" cy="451485"/>
                        </a:xfrm>
                        <a:prstGeom prst="rect">
                          <a:avLst/>
                        </a:prstGeom>
                        <a:solidFill>
                          <a:srgbClr val="FFFFFF"/>
                        </a:solidFill>
                        <a:ln w="9525">
                          <a:solidFill>
                            <a:srgbClr val="000000"/>
                          </a:solidFill>
                          <a:miter lim="800000"/>
                          <a:headEnd/>
                          <a:tailEnd/>
                        </a:ln>
                      </wps:spPr>
                      <wps:txbx>
                        <w:txbxContent>
                          <w:p w14:paraId="4A5744E0" w14:textId="77777777" w:rsidR="00C033D4" w:rsidRDefault="00C033D4" w:rsidP="00FF4B30">
                            <w:pPr>
                              <w:jc w:val="both"/>
                            </w:pPr>
                            <w:r>
                              <w:rPr>
                                <w:b/>
                                <w:bCs/>
                                <w:u w:val="single"/>
                              </w:rPr>
                              <w:t>I</w:t>
                            </w:r>
                            <w:r w:rsidRPr="00C033D4">
                              <w:rPr>
                                <w:b/>
                                <w:bCs/>
                                <w:u w:val="single"/>
                              </w:rPr>
                              <w:t>mportant:</w:t>
                            </w:r>
                            <w:r w:rsidRPr="00FF4B30">
                              <w:t xml:space="preserve"> </w:t>
                            </w:r>
                            <w:r w:rsidRPr="004A4A0E">
                              <w:t xml:space="preserve">To avoid duplication of reports, the ADR reporting form should </w:t>
                            </w:r>
                            <w:r w:rsidR="00801AFC">
                              <w:rPr>
                                <w:b/>
                                <w:bCs/>
                              </w:rPr>
                              <w:t>NOT</w:t>
                            </w:r>
                            <w:r w:rsidRPr="004A4A0E">
                              <w:t xml:space="preserve"> be submitted simultaneously to both the Malta Medicines Authority and the MAH.</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BB3E753" id="_x0000_t202" coordsize="21600,21600" o:spt="202" path="m,l,21600r21600,l21600,xe">
                <v:stroke joinstyle="miter"/>
                <v:path gradientshapeok="t" o:connecttype="rect"/>
              </v:shapetype>
              <v:shape id="Text Box 2" o:spid="_x0000_s1026" type="#_x0000_t202" style="position:absolute;left:0;text-align:left;margin-left:-5.25pt;margin-top:54.9pt;width:464.6pt;height:35.55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">
                <v:textbox style="mso-fit-shape-to-text:t">
                  <w:txbxContent>
                    <w:p w14:paraId="4A5744E0" w14:textId="77777777" w:rsidR="00C033D4" w:rsidRDefault="00C033D4" w:rsidP="00FF4B30">
                      <w:pPr>
                        <w:jc w:val="both"/>
                      </w:pPr>
                      <w:r>
                        <w:rPr>
                          <w:b/>
                          <w:bCs/>
                          <w:u w:val="single"/>
                        </w:rPr>
                        <w:t>I</w:t>
                      </w:r>
                      <w:r w:rsidRPr="00C033D4">
                        <w:rPr>
                          <w:b/>
                          <w:bCs/>
                          <w:u w:val="single"/>
                        </w:rPr>
                        <w:t>mportant:</w:t>
                      </w:r>
                      <w:r w:rsidRPr="00FF4B30">
                        <w:t xml:space="preserve"> </w:t>
                      </w:r>
                      <w:r w:rsidRPr="004A4A0E">
                        <w:t xml:space="preserve">To avoid duplication of reports, the ADR reporting form should </w:t>
                      </w:r>
                      <w:r w:rsidR="00801AFC">
                        <w:rPr>
                          <w:b/>
                          <w:bCs/>
                        </w:rPr>
                        <w:t>NOT</w:t>
                      </w:r>
                      <w:r w:rsidRPr="004A4A0E">
                        <w:t xml:space="preserve"> be submitted simultaneously to both the Malta Medicines Authority and the MAH.</w:t>
                      </w:r>
                    </w:p>
                  </w:txbxContent>
                </v:textbox>
                <w10:wrap type="square"/>
              </v:shape>
            </w:pict>
          </mc:Fallback>
        </mc:AlternateContent>
      </w:r>
      <w:r w:rsidR="00C033D4" w:rsidRPr="00F5497F">
        <w:t>Reports may alternatively be submitted to the marketing authorisation holder (MAH) or its local</w:t>
      </w:r>
      <w:r w:rsidR="004356CC" w:rsidRPr="00F5497F">
        <w:t xml:space="preserve"> </w:t>
      </w:r>
      <w:r w:rsidR="00C033D4" w:rsidRPr="00F5497F">
        <w:t>representative.</w:t>
      </w:r>
      <w:r w:rsidR="002A1DA4" w:rsidRPr="00F5497F">
        <w:t xml:space="preserve"> </w:t>
      </w:r>
      <w:r w:rsidR="00375A22" w:rsidRPr="00F5497F">
        <w:t xml:space="preserve"> </w:t>
      </w:r>
      <w:r w:rsidR="00C033D4" w:rsidRPr="00F5497F">
        <w:t>The relevant contact details can be found in the package leaflet of the medicinal product.</w:t>
      </w:r>
    </w:p>
    <w:p w14:paraId="3A8E9B42" w14:textId="33534FDB" w:rsidR="00AA5326" w:rsidRPr="00F5497F" w:rsidRDefault="00AA5326" w:rsidP="00191F1A">
      <w:pPr>
        <w:spacing w:line="276" w:lineRule="auto"/>
        <w:jc w:val="both"/>
      </w:pPr>
    </w:p>
    <w:p w14:paraId="0BE6FD89" w14:textId="77777777" w:rsidR="005F4F48" w:rsidRPr="00F5497F" w:rsidRDefault="00E94BD0" w:rsidP="00191F1A">
      <w:pPr>
        <w:pStyle w:val="Heading1"/>
        <w:numPr>
          <w:ilvl w:val="1"/>
          <w:numId w:val="102"/>
        </w:numPr>
        <w:tabs>
          <w:tab w:val="left" w:pos="567"/>
        </w:tabs>
        <w:spacing w:before="120" w:after="120"/>
        <w:ind w:left="567" w:hanging="567"/>
        <w:jc w:val="both"/>
        <w:rPr>
          <w:rFonts w:ascii="Times New Roman" w:hAnsi="Times New Roman" w:cs="Times New Roman"/>
          <w:sz w:val="26"/>
          <w:szCs w:val="26"/>
        </w:rPr>
      </w:pPr>
      <w:bookmarkStart w:id="37" w:name="_Toc229133528"/>
      <w:bookmarkStart w:id="38" w:name="_Toc229574384"/>
      <w:bookmarkStart w:id="39" w:name="_Toc236130010"/>
      <w:r w:rsidRPr="00F5497F">
        <w:rPr>
          <w:rFonts w:ascii="Times New Roman" w:hAnsi="Times New Roman" w:cs="Times New Roman"/>
          <w:sz w:val="26"/>
          <w:szCs w:val="26"/>
        </w:rPr>
        <w:t>What should be reported</w:t>
      </w:r>
      <w:bookmarkEnd w:id="37"/>
      <w:bookmarkEnd w:id="38"/>
      <w:bookmarkEnd w:id="39"/>
    </w:p>
    <w:p w14:paraId="379919FB" w14:textId="1E2B4B38" w:rsidR="00801AFC" w:rsidRPr="00F5497F" w:rsidRDefault="00801AFC" w:rsidP="009E1C4C">
      <w:pPr>
        <w:spacing w:line="300" w:lineRule="atLeast"/>
        <w:jc w:val="both"/>
        <w:rPr>
          <w:szCs w:val="24"/>
          <w:lang w:eastAsia="en-GB"/>
        </w:rPr>
      </w:pPr>
      <w:r w:rsidRPr="00F5497F">
        <w:rPr>
          <w:szCs w:val="24"/>
          <w:lang w:eastAsia="en-GB"/>
        </w:rPr>
        <w:t>Healthcare professionals are encouraged</w:t>
      </w:r>
      <w:r w:rsidRPr="00F5497F">
        <w:t xml:space="preserve"> to </w:t>
      </w:r>
      <w:r w:rsidRPr="00F5497F">
        <w:rPr>
          <w:szCs w:val="24"/>
          <w:lang w:eastAsia="en-GB"/>
        </w:rPr>
        <w:t>report</w:t>
      </w:r>
      <w:r w:rsidRPr="00F5497F">
        <w:t xml:space="preserve"> the </w:t>
      </w:r>
      <w:r w:rsidRPr="00F5497F">
        <w:rPr>
          <w:szCs w:val="24"/>
          <w:lang w:eastAsia="en-GB"/>
        </w:rPr>
        <w:t>following:</w:t>
      </w:r>
    </w:p>
    <w:p w14:paraId="0B070F0E" w14:textId="77777777" w:rsidR="00A82741" w:rsidRPr="00F5497F" w:rsidRDefault="00A82741" w:rsidP="00F5497F">
      <w:pPr>
        <w:spacing w:line="300" w:lineRule="atLeast"/>
        <w:jc w:val="both"/>
        <w:rPr>
          <w:szCs w:val="24"/>
          <w:lang w:eastAsia="en-GB"/>
        </w:rPr>
      </w:pPr>
    </w:p>
    <w:p w14:paraId="07868848" w14:textId="304314F4" w:rsidR="00E94BD0" w:rsidRPr="00F5497F" w:rsidRDefault="00801AFC" w:rsidP="009E1C4C">
      <w:pPr>
        <w:numPr>
          <w:ilvl w:val="0"/>
          <w:numId w:val="49"/>
        </w:numPr>
        <w:spacing w:before="60" w:after="60"/>
        <w:ind w:left="714" w:hanging="357"/>
        <w:jc w:val="both"/>
      </w:pPr>
      <w:r w:rsidRPr="00F5497F">
        <w:t>A</w:t>
      </w:r>
      <w:r w:rsidR="00E94BD0" w:rsidRPr="00F5497F">
        <w:t xml:space="preserve">ll suspected ADRs, </w:t>
      </w:r>
      <w:r w:rsidRPr="00F5497F">
        <w:t>regardless of whether the product is an over-the counter (</w:t>
      </w:r>
      <w:r w:rsidR="00E94BD0" w:rsidRPr="00F5497F">
        <w:t>OTC</w:t>
      </w:r>
      <w:r w:rsidRPr="00F5497F">
        <w:t>)</w:t>
      </w:r>
      <w:r w:rsidR="00E94BD0" w:rsidRPr="00F5497F">
        <w:t xml:space="preserve"> or</w:t>
      </w:r>
      <w:r w:rsidRPr="00F5497F">
        <w:t xml:space="preserve"> </w:t>
      </w:r>
      <w:r w:rsidR="004356CC" w:rsidRPr="00F5497F">
        <w:t>prescription</w:t>
      </w:r>
      <w:r w:rsidRPr="00F5497F">
        <w:t xml:space="preserve"> on</w:t>
      </w:r>
      <w:r w:rsidR="004356CC" w:rsidRPr="00F5497F">
        <w:t>l</w:t>
      </w:r>
      <w:r w:rsidRPr="00F5497F">
        <w:t>y medicine (</w:t>
      </w:r>
      <w:r w:rsidR="00E94BD0" w:rsidRPr="00F5497F">
        <w:t>POM</w:t>
      </w:r>
      <w:r w:rsidRPr="00F5497F">
        <w:t>).</w:t>
      </w:r>
    </w:p>
    <w:p w14:paraId="4F26DA51" w14:textId="77777777" w:rsidR="00E94BD0" w:rsidRPr="00F5497F" w:rsidRDefault="00801AFC" w:rsidP="009E1C4C">
      <w:pPr>
        <w:numPr>
          <w:ilvl w:val="0"/>
          <w:numId w:val="49"/>
        </w:numPr>
        <w:spacing w:before="120" w:after="120"/>
        <w:ind w:left="714" w:hanging="357"/>
        <w:jc w:val="both"/>
      </w:pPr>
      <w:r w:rsidRPr="00F5497F">
        <w:t>A</w:t>
      </w:r>
      <w:r w:rsidR="00E94BD0" w:rsidRPr="00F5497F">
        <w:t>ll serious ADRs, including</w:t>
      </w:r>
      <w:r w:rsidRPr="00F5497F">
        <w:t xml:space="preserve"> reactions that are</w:t>
      </w:r>
      <w:r w:rsidR="00E94BD0" w:rsidRPr="00F5497F">
        <w:t xml:space="preserve"> known or already listed </w:t>
      </w:r>
      <w:r w:rsidRPr="00F5497F">
        <w:t>in the SmPC.</w:t>
      </w:r>
    </w:p>
    <w:p w14:paraId="20923D0E" w14:textId="23A2EB62" w:rsidR="00E94BD0" w:rsidRPr="00F5497F" w:rsidRDefault="00801AFC" w:rsidP="009E1C4C">
      <w:pPr>
        <w:numPr>
          <w:ilvl w:val="0"/>
          <w:numId w:val="49"/>
        </w:numPr>
        <w:spacing w:before="120" w:after="120"/>
        <w:ind w:left="714" w:hanging="357"/>
        <w:jc w:val="both"/>
      </w:pPr>
      <w:r w:rsidRPr="00F5497F">
        <w:t>A</w:t>
      </w:r>
      <w:r w:rsidR="00E94BD0" w:rsidRPr="00F5497F">
        <w:t xml:space="preserve">ll ADRs related to vaccines, biologicals, biosimilars, and blood products (include batch number) </w:t>
      </w:r>
    </w:p>
    <w:p w14:paraId="253CFD95" w14:textId="77777777" w:rsidR="00E94BD0" w:rsidRPr="00F5497F" w:rsidRDefault="00E94BD0" w:rsidP="009E1C4C">
      <w:pPr>
        <w:numPr>
          <w:ilvl w:val="0"/>
          <w:numId w:val="49"/>
        </w:numPr>
        <w:spacing w:before="120" w:after="120"/>
        <w:ind w:left="714" w:hanging="357"/>
        <w:jc w:val="both"/>
      </w:pPr>
      <w:r w:rsidRPr="00F5497F">
        <w:t>ADRs involving new medicin</w:t>
      </w:r>
      <w:r w:rsidR="004356CC" w:rsidRPr="00F5497F">
        <w:t xml:space="preserve">al products </w:t>
      </w:r>
      <w:r w:rsidRPr="00F5497F">
        <w:t>or medicines under additional monitoring</w:t>
      </w:r>
      <w:r w:rsidR="00801AFC" w:rsidRPr="00F5497F">
        <w:t>.</w:t>
      </w:r>
    </w:p>
    <w:p w14:paraId="2FD8F926" w14:textId="77777777" w:rsidR="00E94BD0" w:rsidRPr="00F5497F" w:rsidRDefault="00E94BD0" w:rsidP="009E1C4C">
      <w:pPr>
        <w:numPr>
          <w:ilvl w:val="0"/>
          <w:numId w:val="49"/>
        </w:numPr>
        <w:spacing w:before="120" w:after="120"/>
        <w:ind w:left="714" w:hanging="357"/>
        <w:jc w:val="both"/>
      </w:pPr>
      <w:r w:rsidRPr="00F5497F">
        <w:t>ADRs</w:t>
      </w:r>
      <w:r w:rsidR="00801AFC" w:rsidRPr="00F5497F">
        <w:t xml:space="preserve"> </w:t>
      </w:r>
      <w:r w:rsidR="004356CC" w:rsidRPr="00F5497F">
        <w:t>occurring</w:t>
      </w:r>
      <w:r w:rsidRPr="00F5497F">
        <w:t xml:space="preserve"> in special populations</w:t>
      </w:r>
      <w:r w:rsidR="00560B0F" w:rsidRPr="00F5497F">
        <w:t xml:space="preserve"> including children, pregnant women and the elderly.</w:t>
      </w:r>
    </w:p>
    <w:p w14:paraId="31DAED3D" w14:textId="77777777" w:rsidR="009B6F00" w:rsidRPr="00F5497F" w:rsidRDefault="004356CC" w:rsidP="009E1C4C">
      <w:pPr>
        <w:numPr>
          <w:ilvl w:val="0"/>
          <w:numId w:val="49"/>
        </w:numPr>
        <w:spacing w:before="120" w:after="120"/>
        <w:ind w:left="714" w:hanging="357"/>
        <w:jc w:val="both"/>
      </w:pPr>
      <w:r w:rsidRPr="00F5497F">
        <w:t>M</w:t>
      </w:r>
      <w:r w:rsidR="00E94BD0" w:rsidRPr="00F5497F">
        <w:t xml:space="preserve">edication errors </w:t>
      </w:r>
      <w:r w:rsidRPr="00F5497F">
        <w:t>which resulted in harm</w:t>
      </w:r>
      <w:r w:rsidR="00E94BD0" w:rsidRPr="00F5497F">
        <w:t xml:space="preserve"> or </w:t>
      </w:r>
      <w:r w:rsidRPr="00F5497F">
        <w:t xml:space="preserve">had the </w:t>
      </w:r>
      <w:r w:rsidR="00E94BD0" w:rsidRPr="00F5497F">
        <w:t xml:space="preserve">potential </w:t>
      </w:r>
      <w:r w:rsidRPr="00F5497F">
        <w:t xml:space="preserve">to cause </w:t>
      </w:r>
      <w:r w:rsidR="00E94BD0" w:rsidRPr="00F5497F">
        <w:t>harm</w:t>
      </w:r>
      <w:r w:rsidR="00BC459D" w:rsidRPr="00F5497F">
        <w:t xml:space="preserve"> (near misses)</w:t>
      </w:r>
    </w:p>
    <w:p w14:paraId="36CC0D1C" w14:textId="77777777" w:rsidR="00227279" w:rsidRPr="00F5497F" w:rsidRDefault="00227279" w:rsidP="009E1C4C">
      <w:pPr>
        <w:jc w:val="both"/>
      </w:pPr>
    </w:p>
    <w:p w14:paraId="0826CB9A" w14:textId="4EE0F6D4" w:rsidR="00A82741" w:rsidRPr="00F5497F" w:rsidRDefault="00A82741" w:rsidP="009E1C4C">
      <w:pPr>
        <w:jc w:val="both"/>
      </w:pPr>
      <w:r w:rsidRPr="00F5497F">
        <w:t xml:space="preserve">In summary all ADRs for all products may be reported. </w:t>
      </w:r>
    </w:p>
    <w:p w14:paraId="47004323" w14:textId="77777777" w:rsidR="00A82741" w:rsidRPr="00F5497F" w:rsidRDefault="00A82741" w:rsidP="009E1C4C">
      <w:pPr>
        <w:jc w:val="both"/>
      </w:pPr>
    </w:p>
    <w:p w14:paraId="4D1FBDBE" w14:textId="77777777" w:rsidR="00660C94" w:rsidRPr="00F5497F" w:rsidRDefault="00660C94" w:rsidP="009E1C4C">
      <w:pPr>
        <w:pStyle w:val="Heading1"/>
        <w:numPr>
          <w:ilvl w:val="1"/>
          <w:numId w:val="102"/>
        </w:numPr>
        <w:tabs>
          <w:tab w:val="left" w:pos="567"/>
        </w:tabs>
        <w:spacing w:before="180" w:after="120"/>
        <w:ind w:left="567" w:hanging="567"/>
        <w:jc w:val="both"/>
        <w:rPr>
          <w:rFonts w:ascii="Times New Roman" w:hAnsi="Times New Roman" w:cs="Times New Roman"/>
          <w:sz w:val="26"/>
          <w:szCs w:val="26"/>
        </w:rPr>
      </w:pPr>
      <w:bookmarkStart w:id="40" w:name="_Toc229133529"/>
      <w:bookmarkStart w:id="41" w:name="_Toc229574385"/>
      <w:bookmarkStart w:id="42" w:name="_Toc236130011"/>
      <w:r w:rsidRPr="00F5497F">
        <w:rPr>
          <w:rFonts w:ascii="Times New Roman" w:hAnsi="Times New Roman" w:cs="Times New Roman"/>
          <w:sz w:val="26"/>
          <w:szCs w:val="26"/>
        </w:rPr>
        <w:t>Completing the ADR Report Form</w:t>
      </w:r>
      <w:bookmarkEnd w:id="40"/>
      <w:bookmarkEnd w:id="41"/>
      <w:bookmarkEnd w:id="42"/>
    </w:p>
    <w:p w14:paraId="55BF024E" w14:textId="77777777" w:rsidR="004356CC" w:rsidRPr="00F5497F" w:rsidRDefault="00660C94" w:rsidP="00191F1A">
      <w:pPr>
        <w:pStyle w:val="NormalWeb"/>
        <w:spacing w:before="0" w:beforeAutospacing="0" w:after="0" w:afterAutospacing="0"/>
        <w:jc w:val="both"/>
        <w:rPr>
          <w:lang w:val="en-GB"/>
        </w:rPr>
      </w:pPr>
      <w:r w:rsidRPr="00F5497F">
        <w:t xml:space="preserve">Healthcare professionals are </w:t>
      </w:r>
      <w:r w:rsidR="004356CC" w:rsidRPr="00F5497F">
        <w:t>requested</w:t>
      </w:r>
      <w:r w:rsidRPr="00F5497F">
        <w:t xml:space="preserve"> to complete the </w:t>
      </w:r>
      <w:hyperlink r:id="rId26" w:history="1">
        <w:r w:rsidRPr="00F5497F">
          <w:rPr>
            <w:rStyle w:val="Hyperlink"/>
          </w:rPr>
          <w:t>ADR report form</w:t>
        </w:r>
      </w:hyperlink>
      <w:r w:rsidRPr="00F5497F">
        <w:t xml:space="preserve"> </w:t>
      </w:r>
      <w:r w:rsidR="004356CC" w:rsidRPr="00F5497F">
        <w:rPr>
          <w:lang w:val="en-GB"/>
        </w:rPr>
        <w:t>as accurately and comprehensively as possible. Information should be recorded using clear, legible handwriting or clearly formatted electronic text.</w:t>
      </w:r>
    </w:p>
    <w:p w14:paraId="1BC853D6" w14:textId="77777777" w:rsidR="00191F1A" w:rsidRPr="00F5497F" w:rsidRDefault="00191F1A" w:rsidP="00191F1A">
      <w:pPr>
        <w:pStyle w:val="NormalWeb"/>
        <w:spacing w:before="0" w:beforeAutospacing="0" w:after="0" w:afterAutospacing="0"/>
        <w:jc w:val="both"/>
        <w:rPr>
          <w:sz w:val="20"/>
          <w:szCs w:val="20"/>
        </w:rPr>
      </w:pPr>
    </w:p>
    <w:p w14:paraId="6F4508FD" w14:textId="77777777" w:rsidR="004356CC" w:rsidRDefault="004356CC" w:rsidP="00191F1A">
      <w:pPr>
        <w:pStyle w:val="NormalWeb"/>
        <w:spacing w:before="0" w:beforeAutospacing="0" w:after="0" w:afterAutospacing="0"/>
        <w:jc w:val="both"/>
        <w:rPr>
          <w:lang w:val="en-GB"/>
        </w:rPr>
      </w:pPr>
      <w:r w:rsidRPr="00F5497F">
        <w:rPr>
          <w:lang w:val="en-GB"/>
        </w:rPr>
        <w:t>Providing clear and complete information helps minimise the risk of transcription errors and supports accurate entry, assessment, and analysis of reports within pharmacovigilance safety databases.</w:t>
      </w:r>
    </w:p>
    <w:p w14:paraId="23D1E6F3" w14:textId="77777777" w:rsidR="006528A7" w:rsidRPr="00F5497F" w:rsidRDefault="006528A7" w:rsidP="00191F1A">
      <w:pPr>
        <w:pStyle w:val="NormalWeb"/>
        <w:spacing w:before="0" w:beforeAutospacing="0" w:after="0" w:afterAutospacing="0"/>
        <w:jc w:val="both"/>
        <w:rPr>
          <w:lang w:val="en-GB"/>
        </w:rPr>
      </w:pPr>
    </w:p>
    <w:p w14:paraId="4676C05B" w14:textId="77777777" w:rsidR="00191F1A" w:rsidRPr="00F5497F" w:rsidRDefault="00191F1A" w:rsidP="00191F1A">
      <w:pPr>
        <w:pStyle w:val="NormalWeb"/>
        <w:spacing w:before="0" w:beforeAutospacing="0" w:after="0" w:afterAutospacing="0"/>
        <w:jc w:val="both"/>
        <w:rPr>
          <w:sz w:val="18"/>
          <w:szCs w:val="18"/>
          <w:lang w:val="en-GB"/>
        </w:rPr>
      </w:pPr>
    </w:p>
    <w:p w14:paraId="54BE3302" w14:textId="77777777" w:rsidR="004356CC" w:rsidRPr="00F5497F" w:rsidRDefault="004356CC" w:rsidP="009E1C4C">
      <w:pPr>
        <w:pStyle w:val="NormalWeb"/>
        <w:spacing w:before="0" w:beforeAutospacing="0" w:after="0" w:afterAutospacing="0"/>
        <w:jc w:val="both"/>
        <w:rPr>
          <w:lang w:val="en-GB"/>
        </w:rPr>
      </w:pPr>
      <w:r w:rsidRPr="00F5497F">
        <w:rPr>
          <w:lang w:val="en-GB"/>
        </w:rPr>
        <w:lastRenderedPageBreak/>
        <w:t>When completing the form:</w:t>
      </w:r>
    </w:p>
    <w:p w14:paraId="1FB7A64D" w14:textId="3C2CC347" w:rsidR="004356CC" w:rsidRPr="00F5497F" w:rsidRDefault="004356CC" w:rsidP="00F5497F">
      <w:pPr>
        <w:pStyle w:val="NormalWeb"/>
        <w:numPr>
          <w:ilvl w:val="0"/>
          <w:numId w:val="66"/>
        </w:numPr>
        <w:spacing w:before="0" w:beforeAutospacing="0" w:after="0" w:afterAutospacing="0"/>
        <w:jc w:val="both"/>
      </w:pPr>
      <w:r w:rsidRPr="00F5497F">
        <w:rPr>
          <w:lang w:val="en-GB"/>
        </w:rPr>
        <w:t>avoid ambiguous or non</w:t>
      </w:r>
      <w:r w:rsidRPr="00F5497F">
        <w:rPr>
          <w:lang w:val="en-GB"/>
        </w:rPr>
        <w:noBreakHyphen/>
        <w:t>specific terms, and</w:t>
      </w:r>
    </w:p>
    <w:p w14:paraId="637391E4" w14:textId="66F17B5E" w:rsidR="004356CC" w:rsidRPr="00F5497F" w:rsidRDefault="004356CC" w:rsidP="009E1C4C">
      <w:pPr>
        <w:pStyle w:val="NormalWeb"/>
        <w:numPr>
          <w:ilvl w:val="0"/>
          <w:numId w:val="66"/>
        </w:numPr>
        <w:spacing w:before="0" w:beforeAutospacing="0" w:after="0" w:afterAutospacing="0"/>
        <w:ind w:left="714" w:hanging="357"/>
        <w:jc w:val="both"/>
        <w:rPr>
          <w:lang w:val="en-GB"/>
        </w:rPr>
      </w:pPr>
      <w:r w:rsidRPr="00F5497F">
        <w:rPr>
          <w:lang w:val="en-GB"/>
        </w:rPr>
        <w:t>avoid the use of unexplained abbreviations or acronyms.</w:t>
      </w:r>
    </w:p>
    <w:p w14:paraId="63B0C153" w14:textId="77777777" w:rsidR="004356CC" w:rsidRDefault="004356CC" w:rsidP="009E1C4C">
      <w:pPr>
        <w:pStyle w:val="NormalWeb"/>
        <w:spacing w:before="240" w:beforeAutospacing="0" w:after="0" w:afterAutospacing="0"/>
        <w:jc w:val="both"/>
        <w:rPr>
          <w:lang w:val="en-GB"/>
        </w:rPr>
      </w:pPr>
      <w:r w:rsidRPr="00F5497F">
        <w:rPr>
          <w:lang w:val="en-GB"/>
        </w:rPr>
        <w:t>Where abbreviations are necessary, they should be clearly defined. This ensures the clinical information provided is correctly interpreted and appropriately assessed.</w:t>
      </w:r>
    </w:p>
    <w:p w14:paraId="7929C2EB" w14:textId="77777777" w:rsidR="006528A7" w:rsidRPr="00F5497F" w:rsidRDefault="006528A7" w:rsidP="009E1C4C">
      <w:pPr>
        <w:pStyle w:val="NormalWeb"/>
        <w:spacing w:before="240" w:beforeAutospacing="0" w:after="0" w:afterAutospacing="0"/>
        <w:jc w:val="both"/>
        <w:rPr>
          <w:lang w:val="en-GB"/>
        </w:rPr>
      </w:pPr>
    </w:p>
    <w:p w14:paraId="0EF583C4" w14:textId="5916C127" w:rsidR="00660C94" w:rsidRPr="00F5497F" w:rsidRDefault="00660C94" w:rsidP="009E1C4C">
      <w:pPr>
        <w:pStyle w:val="Heading1"/>
        <w:numPr>
          <w:ilvl w:val="1"/>
          <w:numId w:val="102"/>
        </w:numPr>
        <w:tabs>
          <w:tab w:val="left" w:pos="567"/>
        </w:tabs>
        <w:spacing w:after="180"/>
        <w:ind w:left="567" w:hanging="567"/>
        <w:jc w:val="both"/>
        <w:rPr>
          <w:rFonts w:ascii="Times New Roman" w:hAnsi="Times New Roman" w:cs="Times New Roman"/>
          <w:sz w:val="26"/>
          <w:szCs w:val="26"/>
        </w:rPr>
      </w:pPr>
      <w:bookmarkStart w:id="43" w:name="_Toc229133530"/>
      <w:bookmarkStart w:id="44" w:name="_Toc229574386"/>
      <w:bookmarkStart w:id="45" w:name="_Toc236130012"/>
      <w:r w:rsidRPr="00F5497F">
        <w:rPr>
          <w:rFonts w:ascii="Times New Roman" w:hAnsi="Times New Roman" w:cs="Times New Roman"/>
          <w:sz w:val="26"/>
          <w:szCs w:val="26"/>
        </w:rPr>
        <w:t>Minimum information</w:t>
      </w:r>
      <w:r w:rsidRPr="00F5497F">
        <w:rPr>
          <w:rFonts w:ascii="Times New Roman" w:hAnsi="Times New Roman" w:cs="Times New Roman"/>
          <w:sz w:val="26"/>
        </w:rPr>
        <w:t xml:space="preserve"> required</w:t>
      </w:r>
      <w:bookmarkEnd w:id="43"/>
      <w:bookmarkEnd w:id="44"/>
      <w:bookmarkEnd w:id="45"/>
    </w:p>
    <w:p w14:paraId="7BCCBE48" w14:textId="7927C8A8" w:rsidR="00C22154" w:rsidRPr="00F5497F" w:rsidRDefault="00C22154" w:rsidP="00F5497F">
      <w:pPr>
        <w:spacing w:after="120"/>
        <w:jc w:val="both"/>
      </w:pPr>
      <w:r w:rsidRPr="00F5497F">
        <w:t>For a report to be considered valid, the following minimum information is required:</w:t>
      </w:r>
    </w:p>
    <w:p w14:paraId="78ACC651" w14:textId="77777777" w:rsidR="00660C94" w:rsidRPr="00F5497F" w:rsidRDefault="00660C94" w:rsidP="009E1C4C">
      <w:pPr>
        <w:numPr>
          <w:ilvl w:val="0"/>
          <w:numId w:val="22"/>
        </w:numPr>
        <w:spacing w:line="312" w:lineRule="auto"/>
        <w:jc w:val="both"/>
      </w:pPr>
      <w:r w:rsidRPr="00F5497F">
        <w:t>An identifiable and contactable reporter (e.g. doctor, pharmacist, dentist)</w:t>
      </w:r>
    </w:p>
    <w:p w14:paraId="1740FC80" w14:textId="77777777" w:rsidR="00660C94" w:rsidRPr="00F5497F" w:rsidRDefault="00660C94" w:rsidP="009E1C4C">
      <w:pPr>
        <w:numPr>
          <w:ilvl w:val="0"/>
          <w:numId w:val="22"/>
        </w:numPr>
        <w:spacing w:line="312" w:lineRule="auto"/>
        <w:jc w:val="both"/>
      </w:pPr>
      <w:r w:rsidRPr="00F5497F">
        <w:t>An identifiable patient (i.e. initials, age and gender)</w:t>
      </w:r>
    </w:p>
    <w:p w14:paraId="332383B5" w14:textId="77777777" w:rsidR="00660C94" w:rsidRPr="00F5497F" w:rsidRDefault="00660C94" w:rsidP="009E1C4C">
      <w:pPr>
        <w:numPr>
          <w:ilvl w:val="0"/>
          <w:numId w:val="22"/>
        </w:numPr>
        <w:spacing w:line="312" w:lineRule="auto"/>
        <w:jc w:val="both"/>
      </w:pPr>
      <w:r w:rsidRPr="00F5497F">
        <w:t>A suspected medicinal product</w:t>
      </w:r>
    </w:p>
    <w:p w14:paraId="74807BFC" w14:textId="77777777" w:rsidR="00660C94" w:rsidRPr="00F5497F" w:rsidRDefault="00660C94" w:rsidP="009E1C4C">
      <w:pPr>
        <w:numPr>
          <w:ilvl w:val="0"/>
          <w:numId w:val="22"/>
        </w:numPr>
        <w:spacing w:line="312" w:lineRule="auto"/>
        <w:jc w:val="both"/>
        <w:rPr>
          <w:szCs w:val="24"/>
        </w:rPr>
      </w:pPr>
      <w:r w:rsidRPr="00F5497F">
        <w:t>A suspected adverse drug reaction</w:t>
      </w:r>
    </w:p>
    <w:p w14:paraId="2F2C3746" w14:textId="77777777" w:rsidR="002C4A42" w:rsidRPr="00F5497F" w:rsidRDefault="002C4A42" w:rsidP="00F5497F">
      <w:pPr>
        <w:spacing w:line="300" w:lineRule="atLeast"/>
        <w:jc w:val="both"/>
      </w:pPr>
    </w:p>
    <w:p w14:paraId="00216C76" w14:textId="0649DB02" w:rsidR="00DD050D" w:rsidRPr="00F5497F" w:rsidRDefault="00DD050D" w:rsidP="009E1C4C">
      <w:pPr>
        <w:spacing w:line="300" w:lineRule="atLeast"/>
        <w:jc w:val="both"/>
      </w:pPr>
      <w:r w:rsidRPr="00F5497F">
        <w:t>Reports should be submitted as soon as possible and should not be delayed due to uncertainty regarding a causal relationship or because some details are missing. Any additional or missing information may be provided later by follow</w:t>
      </w:r>
      <w:r w:rsidRPr="00F5497F">
        <w:noBreakHyphen/>
        <w:t>up, as it becomes available.</w:t>
      </w:r>
    </w:p>
    <w:p w14:paraId="1D4A8C5D" w14:textId="77777777" w:rsidR="00C933F6" w:rsidRPr="00F5497F" w:rsidRDefault="00C933F6" w:rsidP="009E1C4C">
      <w:pPr>
        <w:jc w:val="both"/>
        <w:rPr>
          <w:b/>
          <w:bCs/>
          <w:highlight w:val="yellow"/>
        </w:rPr>
      </w:pPr>
    </w:p>
    <w:p w14:paraId="4FF786AE" w14:textId="77777777" w:rsidR="00C933F6" w:rsidRPr="00F5497F" w:rsidRDefault="00C933F6" w:rsidP="009E1C4C">
      <w:pPr>
        <w:pStyle w:val="Heading1"/>
        <w:numPr>
          <w:ilvl w:val="1"/>
          <w:numId w:val="102"/>
        </w:numPr>
        <w:tabs>
          <w:tab w:val="left" w:pos="567"/>
        </w:tabs>
        <w:spacing w:after="180"/>
        <w:ind w:left="567" w:hanging="567"/>
        <w:jc w:val="both"/>
        <w:rPr>
          <w:rFonts w:ascii="Times New Roman" w:hAnsi="Times New Roman" w:cs="Times New Roman"/>
          <w:sz w:val="26"/>
          <w:szCs w:val="26"/>
        </w:rPr>
      </w:pPr>
      <w:bookmarkStart w:id="46" w:name="_Toc229133531"/>
      <w:bookmarkStart w:id="47" w:name="_Toc229574387"/>
      <w:bookmarkStart w:id="48" w:name="_Toc236130013"/>
      <w:r w:rsidRPr="00F5497F">
        <w:rPr>
          <w:rFonts w:ascii="Times New Roman" w:hAnsi="Times New Roman" w:cs="Times New Roman"/>
          <w:sz w:val="26"/>
          <w:szCs w:val="26"/>
        </w:rPr>
        <w:t>Importance of Good</w:t>
      </w:r>
      <w:r w:rsidRPr="00F5497F">
        <w:rPr>
          <w:rFonts w:ascii="Times New Roman" w:hAnsi="Times New Roman" w:cs="Times New Roman"/>
          <w:sz w:val="26"/>
          <w:szCs w:val="26"/>
        </w:rPr>
        <w:noBreakHyphen/>
        <w:t>Quality Reports</w:t>
      </w:r>
      <w:bookmarkEnd w:id="46"/>
      <w:bookmarkEnd w:id="47"/>
      <w:bookmarkEnd w:id="48"/>
    </w:p>
    <w:p w14:paraId="65F6A098" w14:textId="77777777" w:rsidR="00C22154" w:rsidRPr="00F5497F" w:rsidRDefault="00C933F6" w:rsidP="009E1C4C">
      <w:pPr>
        <w:jc w:val="both"/>
      </w:pPr>
      <w:r w:rsidRPr="00F5497F">
        <w:t>Providing accurate and complete information supports effective safety assessment and enables timely regulatory decision</w:t>
      </w:r>
      <w:r w:rsidRPr="00F5497F">
        <w:noBreakHyphen/>
        <w:t xml:space="preserve">making. </w:t>
      </w:r>
    </w:p>
    <w:p w14:paraId="417BC9D3" w14:textId="77777777" w:rsidR="00C22154" w:rsidRPr="00F5497F" w:rsidRDefault="00C22154" w:rsidP="009E1C4C">
      <w:pPr>
        <w:jc w:val="both"/>
      </w:pPr>
    </w:p>
    <w:p w14:paraId="44FA7EFD" w14:textId="372C1E91" w:rsidR="00C933F6" w:rsidRPr="00F5497F" w:rsidRDefault="00C22154" w:rsidP="009E1C4C">
      <w:pPr>
        <w:spacing w:after="120"/>
        <w:jc w:val="both"/>
      </w:pPr>
      <w:r w:rsidRPr="00F5497F">
        <w:t>When available, healthcare professionals are encouraged to include the following details in ADR reports:</w:t>
      </w:r>
    </w:p>
    <w:p w14:paraId="21F3FF3B" w14:textId="77777777" w:rsidR="00A82741" w:rsidRPr="00F5497F" w:rsidRDefault="00A82741" w:rsidP="009E1C4C">
      <w:pPr>
        <w:spacing w:after="120"/>
        <w:jc w:val="both"/>
      </w:pPr>
    </w:p>
    <w:p w14:paraId="58E699DC" w14:textId="77777777" w:rsidR="00C933F6" w:rsidRPr="00F5497F" w:rsidRDefault="00C933F6" w:rsidP="009E1C4C">
      <w:pPr>
        <w:numPr>
          <w:ilvl w:val="0"/>
          <w:numId w:val="22"/>
        </w:numPr>
        <w:spacing w:line="312" w:lineRule="auto"/>
        <w:jc w:val="both"/>
      </w:pPr>
      <w:r w:rsidRPr="00F5497F">
        <w:t>start and stop date of the adverse drug reaction (ADR)</w:t>
      </w:r>
      <w:r w:rsidR="00C22154" w:rsidRPr="00F5497F">
        <w:t>.</w:t>
      </w:r>
    </w:p>
    <w:p w14:paraId="21A9609E" w14:textId="77777777" w:rsidR="00C933F6" w:rsidRPr="00F5497F" w:rsidRDefault="00C933F6" w:rsidP="009E1C4C">
      <w:pPr>
        <w:numPr>
          <w:ilvl w:val="0"/>
          <w:numId w:val="22"/>
        </w:numPr>
        <w:spacing w:line="312" w:lineRule="auto"/>
        <w:jc w:val="both"/>
      </w:pPr>
      <w:r w:rsidRPr="00F5497F">
        <w:t xml:space="preserve">start and stop date of the suspected medicinal </w:t>
      </w:r>
      <w:r w:rsidR="00C22154" w:rsidRPr="00F5497F">
        <w:t>product.</w:t>
      </w:r>
    </w:p>
    <w:p w14:paraId="79EC631D" w14:textId="77777777" w:rsidR="00C933F6" w:rsidRPr="00F5497F" w:rsidRDefault="00C933F6" w:rsidP="009E1C4C">
      <w:pPr>
        <w:numPr>
          <w:ilvl w:val="0"/>
          <w:numId w:val="22"/>
        </w:numPr>
        <w:spacing w:line="312" w:lineRule="auto"/>
        <w:jc w:val="both"/>
      </w:pPr>
      <w:r w:rsidRPr="00F5497F">
        <w:t xml:space="preserve">indication for which the medicine was </w:t>
      </w:r>
      <w:r w:rsidR="00C22154" w:rsidRPr="00F5497F">
        <w:t>prescribed.</w:t>
      </w:r>
    </w:p>
    <w:p w14:paraId="7CA347F1" w14:textId="77777777" w:rsidR="00C933F6" w:rsidRPr="00F5497F" w:rsidRDefault="00C933F6" w:rsidP="009E1C4C">
      <w:pPr>
        <w:numPr>
          <w:ilvl w:val="0"/>
          <w:numId w:val="22"/>
        </w:numPr>
        <w:spacing w:line="312" w:lineRule="auto"/>
        <w:jc w:val="both"/>
      </w:pPr>
      <w:r w:rsidRPr="00F5497F">
        <w:t xml:space="preserve">patient outcome and seriousness of the </w:t>
      </w:r>
      <w:r w:rsidR="00C22154" w:rsidRPr="00F5497F">
        <w:t>reaction.</w:t>
      </w:r>
    </w:p>
    <w:p w14:paraId="1F0BE4DC" w14:textId="77777777" w:rsidR="00C933F6" w:rsidRPr="00F5497F" w:rsidRDefault="00C933F6" w:rsidP="009E1C4C">
      <w:pPr>
        <w:numPr>
          <w:ilvl w:val="0"/>
          <w:numId w:val="22"/>
        </w:numPr>
        <w:spacing w:line="312" w:lineRule="auto"/>
        <w:jc w:val="both"/>
      </w:pPr>
      <w:r w:rsidRPr="00F5497F">
        <w:t xml:space="preserve">information on </w:t>
      </w:r>
      <w:proofErr w:type="spellStart"/>
      <w:r w:rsidRPr="00F5497F">
        <w:t>dechallenge</w:t>
      </w:r>
      <w:proofErr w:type="spellEnd"/>
      <w:r w:rsidRPr="00F5497F">
        <w:t xml:space="preserve"> and rechallenge (if applicable</w:t>
      </w:r>
      <w:r w:rsidR="00C22154" w:rsidRPr="00F5497F">
        <w:t>).</w:t>
      </w:r>
    </w:p>
    <w:p w14:paraId="26578C96" w14:textId="77777777" w:rsidR="00C933F6" w:rsidRPr="00F5497F" w:rsidRDefault="00C933F6" w:rsidP="009E1C4C">
      <w:pPr>
        <w:numPr>
          <w:ilvl w:val="0"/>
          <w:numId w:val="22"/>
        </w:numPr>
        <w:ind w:left="714" w:hanging="357"/>
        <w:jc w:val="both"/>
      </w:pPr>
      <w:r w:rsidRPr="00F5497F">
        <w:t>relevant patient details, including medical history and concomitant medicines.</w:t>
      </w:r>
    </w:p>
    <w:p w14:paraId="07B926F8" w14:textId="77777777" w:rsidR="00660C94" w:rsidRPr="00F5497F" w:rsidRDefault="0094121D" w:rsidP="009E1C4C">
      <w:pPr>
        <w:tabs>
          <w:tab w:val="left" w:pos="3270"/>
        </w:tabs>
        <w:jc w:val="both"/>
      </w:pPr>
      <w:r w:rsidRPr="00F5497F">
        <w:tab/>
      </w:r>
    </w:p>
    <w:p w14:paraId="6518AEB7" w14:textId="12DFC1AF" w:rsidR="00C22154" w:rsidRPr="00F5497F" w:rsidRDefault="00C22154" w:rsidP="009E1C4C">
      <w:pPr>
        <w:jc w:val="both"/>
      </w:pPr>
      <w:r w:rsidRPr="00F5497F">
        <w:t>Reports should still be submitted even if some of this information is not yet available.</w:t>
      </w:r>
      <w:r w:rsidR="00A82741" w:rsidRPr="00F5497F">
        <w:t xml:space="preserve"> </w:t>
      </w:r>
      <w:r w:rsidR="0082671B" w:rsidRPr="00F5497F">
        <w:t>However,</w:t>
      </w:r>
      <w:r w:rsidR="00A82741" w:rsidRPr="00F5497F">
        <w:t xml:space="preserve"> if the above information is known it should </w:t>
      </w:r>
      <w:r w:rsidR="00F5497F">
        <w:t xml:space="preserve">be </w:t>
      </w:r>
      <w:r w:rsidR="00A82741" w:rsidRPr="00F5497F">
        <w:t xml:space="preserve">reported to minimise the need for follow-up. </w:t>
      </w:r>
      <w:r w:rsidRPr="00F5497F">
        <w:t>Additional or clarifying details may be provided subsequently through follow</w:t>
      </w:r>
      <w:r w:rsidRPr="00F5497F">
        <w:noBreakHyphen/>
        <w:t>up reporting</w:t>
      </w:r>
      <w:r w:rsidR="0082671B" w:rsidRPr="00F5497F">
        <w:t xml:space="preserve"> if needed. </w:t>
      </w:r>
    </w:p>
    <w:p w14:paraId="60596BEA" w14:textId="77777777" w:rsidR="00E71B91" w:rsidRPr="00F5497F" w:rsidRDefault="00E71B91" w:rsidP="00E71B91">
      <w:pPr>
        <w:pStyle w:val="Heading1"/>
        <w:numPr>
          <w:ilvl w:val="1"/>
          <w:numId w:val="102"/>
        </w:numPr>
        <w:tabs>
          <w:tab w:val="left" w:pos="567"/>
        </w:tabs>
        <w:spacing w:after="180"/>
        <w:ind w:left="567" w:hanging="567"/>
        <w:jc w:val="both"/>
        <w:rPr>
          <w:rFonts w:ascii="Times New Roman" w:hAnsi="Times New Roman" w:cs="Times New Roman"/>
          <w:sz w:val="26"/>
          <w:szCs w:val="26"/>
        </w:rPr>
      </w:pPr>
      <w:bookmarkStart w:id="49" w:name="_Toc229133532"/>
      <w:bookmarkStart w:id="50" w:name="_Toc229574388"/>
      <w:bookmarkStart w:id="51" w:name="_Toc236130014"/>
      <w:r w:rsidRPr="00F5497F">
        <w:rPr>
          <w:rFonts w:ascii="Times New Roman" w:hAnsi="Times New Roman" w:cs="Times New Roman"/>
          <w:sz w:val="26"/>
          <w:szCs w:val="26"/>
        </w:rPr>
        <w:lastRenderedPageBreak/>
        <w:t>Common questions</w:t>
      </w:r>
      <w:r w:rsidR="00FF37E5" w:rsidRPr="00F5497F">
        <w:rPr>
          <w:rFonts w:ascii="Times New Roman" w:hAnsi="Times New Roman" w:cs="Times New Roman"/>
          <w:sz w:val="26"/>
          <w:szCs w:val="26"/>
        </w:rPr>
        <w:t xml:space="preserve"> </w:t>
      </w:r>
      <w:r w:rsidRPr="00F5497F">
        <w:rPr>
          <w:rFonts w:ascii="Times New Roman" w:hAnsi="Times New Roman" w:cs="Times New Roman"/>
          <w:sz w:val="26"/>
          <w:szCs w:val="26"/>
        </w:rPr>
        <w:t>and misconceptions about ADR reporting</w:t>
      </w:r>
      <w:bookmarkEnd w:id="49"/>
      <w:r w:rsidR="00FF37E5" w:rsidRPr="00F5497F">
        <w:rPr>
          <w:rFonts w:ascii="Times New Roman" w:hAnsi="Times New Roman" w:cs="Times New Roman"/>
          <w:sz w:val="26"/>
          <w:szCs w:val="26"/>
        </w:rPr>
        <w:t xml:space="preserve"> – overcoming barriers toward reporting</w:t>
      </w:r>
      <w:bookmarkEnd w:id="50"/>
      <w:bookmarkEnd w:id="51"/>
    </w:p>
    <w:p w14:paraId="618DCE0B" w14:textId="77777777" w:rsidR="00FF37E5" w:rsidRPr="00F5497F" w:rsidRDefault="00FF37E5" w:rsidP="00FF37E5">
      <w:r w:rsidRPr="00F5497F">
        <w:t xml:space="preserve">A local study by Curtolo et al </w:t>
      </w:r>
      <w:r w:rsidRPr="00F5497F">
        <w:rPr>
          <w:rStyle w:val="FootnoteReference"/>
        </w:rPr>
        <w:footnoteReference w:id="3"/>
      </w:r>
      <w:r w:rsidRPr="00F5497F">
        <w:t xml:space="preserve"> showed that a</w:t>
      </w:r>
      <w:r w:rsidR="00E71B91" w:rsidRPr="00F5497F">
        <w:t xml:space="preserve">lthough healthcare professionals in Malta generally demonstrate good knowledge of pharmacovigilance under‑reporting of adverse drug reactions (ADRs) remains a </w:t>
      </w:r>
      <w:r w:rsidRPr="00F5497F">
        <w:t xml:space="preserve">common. </w:t>
      </w:r>
    </w:p>
    <w:p w14:paraId="18265444" w14:textId="77777777" w:rsidR="00FF37E5" w:rsidRPr="00F5497F" w:rsidRDefault="00FF37E5" w:rsidP="00FF37E5"/>
    <w:p w14:paraId="117B6722" w14:textId="41306A88" w:rsidR="00FF37E5" w:rsidRPr="00F5497F" w:rsidRDefault="00FF37E5" w:rsidP="00FF37E5">
      <w:r w:rsidRPr="00F5497F">
        <w:t xml:space="preserve">Underreporting is </w:t>
      </w:r>
      <w:r w:rsidR="00E71B91" w:rsidRPr="00F5497F">
        <w:t>recognised limitation of spontaneous reporting systems</w:t>
      </w:r>
      <w:r w:rsidRPr="00F5497F">
        <w:t xml:space="preserve"> and several barriers in the local context have been identified and reported by Curtolo et al</w:t>
      </w:r>
      <w:r w:rsidR="00375A22" w:rsidRPr="00F5497F">
        <w:t>, 20</w:t>
      </w:r>
      <w:r w:rsidR="00F5497F">
        <w:t>2</w:t>
      </w:r>
      <w:r w:rsidR="00375A22" w:rsidRPr="00F5497F">
        <w:t>4</w:t>
      </w:r>
      <w:r w:rsidRPr="00F5497F">
        <w:t xml:space="preserve">. </w:t>
      </w:r>
    </w:p>
    <w:p w14:paraId="46304031" w14:textId="77777777" w:rsidR="00FF37E5" w:rsidRPr="00F5497F" w:rsidRDefault="00FF37E5" w:rsidP="00FF37E5"/>
    <w:p w14:paraId="441B8486" w14:textId="77777777" w:rsidR="00E71B91" w:rsidRPr="00F5497F" w:rsidRDefault="00E71B91" w:rsidP="00FF37E5">
      <w:r w:rsidRPr="00F5497F">
        <w:t>Local findings and international experience indicate that this is often driven not by lack of awareness, but by practical uncertainties and common misconceptions encountered in routine clinical practice.</w:t>
      </w:r>
    </w:p>
    <w:p w14:paraId="6EB7D1A8" w14:textId="77777777" w:rsidR="00FF37E5" w:rsidRPr="00F5497F" w:rsidRDefault="00FF37E5" w:rsidP="00F5497F"/>
    <w:p w14:paraId="1CF31717" w14:textId="329D6563" w:rsidR="00E71B91" w:rsidRPr="00F5497F" w:rsidRDefault="00E71B91" w:rsidP="00E71B91">
      <w:pPr>
        <w:spacing w:after="120"/>
        <w:jc w:val="both"/>
      </w:pPr>
      <w:r w:rsidRPr="00F5497F">
        <w:t>The following clarifications address frequently raised questions and aim to reinforce key principles underpinning ADR reporting.</w:t>
      </w:r>
    </w:p>
    <w:p w14:paraId="34C986FA" w14:textId="77777777" w:rsidR="00E71B91" w:rsidRPr="00F5497F" w:rsidRDefault="00E71B91" w:rsidP="00E71B91">
      <w:pPr>
        <w:pStyle w:val="ListParagraph"/>
        <w:tabs>
          <w:tab w:val="left" w:pos="0"/>
        </w:tabs>
        <w:spacing w:after="0"/>
        <w:ind w:left="0"/>
        <w:rPr>
          <w:szCs w:val="20"/>
          <w:lang w:eastAsia="en-US"/>
        </w:rPr>
      </w:pPr>
    </w:p>
    <w:p w14:paraId="324BF272" w14:textId="77777777" w:rsidR="00E71B91" w:rsidRPr="00F5497F" w:rsidRDefault="00E71B91" w:rsidP="002202BA">
      <w:pPr>
        <w:pStyle w:val="Heading4"/>
        <w:spacing w:after="60"/>
        <w:ind w:left="0"/>
        <w:jc w:val="both"/>
      </w:pPr>
      <w:r w:rsidRPr="00F5497F">
        <w:t>Do I need to be certain that a medicine caused the reaction?</w:t>
      </w:r>
    </w:p>
    <w:p w14:paraId="2EFE6B66" w14:textId="77777777" w:rsidR="002C4A42" w:rsidRPr="00F5497F" w:rsidRDefault="002C4A42" w:rsidP="002C4A42"/>
    <w:p w14:paraId="26A0E026" w14:textId="74833267" w:rsidR="00E71B91" w:rsidRPr="00F5497F" w:rsidRDefault="00E71B91" w:rsidP="00F5497F">
      <w:pPr>
        <w:pStyle w:val="NormalWeb"/>
        <w:spacing w:before="0" w:beforeAutospacing="0" w:after="0" w:afterAutospacing="0"/>
        <w:jc w:val="both"/>
      </w:pPr>
      <w:r w:rsidRPr="00F5497F">
        <w:rPr>
          <w:szCs w:val="20"/>
          <w:lang w:val="en-GB"/>
        </w:rPr>
        <w:t xml:space="preserve">ADR reporting is based on reasonable suspicion and does not require confirmation of a causal relationship. Healthcare professionals are encouraged to submit a report </w:t>
      </w:r>
      <w:r w:rsidR="00F32F65" w:rsidRPr="00F5497F">
        <w:rPr>
          <w:szCs w:val="20"/>
          <w:lang w:val="en-GB"/>
        </w:rPr>
        <w:t>if</w:t>
      </w:r>
      <w:r w:rsidRPr="00F5497F">
        <w:rPr>
          <w:szCs w:val="20"/>
          <w:lang w:val="en-GB"/>
        </w:rPr>
        <w:t xml:space="preserve"> a medicinal product </w:t>
      </w:r>
      <w:r w:rsidR="00F32F65" w:rsidRPr="00F5497F">
        <w:rPr>
          <w:szCs w:val="20"/>
          <w:lang w:val="en-GB"/>
        </w:rPr>
        <w:t xml:space="preserve">is </w:t>
      </w:r>
      <w:r w:rsidR="00F32F65" w:rsidRPr="00F5497F">
        <w:rPr>
          <w:b/>
          <w:bCs/>
          <w:szCs w:val="20"/>
          <w:u w:val="single"/>
          <w:lang w:val="en-GB"/>
        </w:rPr>
        <w:t>at least s</w:t>
      </w:r>
      <w:r w:rsidRPr="00F5497F">
        <w:rPr>
          <w:b/>
          <w:bCs/>
          <w:szCs w:val="20"/>
          <w:u w:val="single"/>
          <w:lang w:val="en-GB"/>
        </w:rPr>
        <w:t>uspected of contributing to an adverse event</w:t>
      </w:r>
      <w:r w:rsidRPr="00F5497F">
        <w:rPr>
          <w:szCs w:val="20"/>
          <w:lang w:val="en-GB"/>
        </w:rPr>
        <w:t xml:space="preserve">, even if </w:t>
      </w:r>
      <w:r w:rsidRPr="00F5497F">
        <w:rPr>
          <w:lang w:val="en-GB"/>
        </w:rPr>
        <w:t xml:space="preserve">other </w:t>
      </w:r>
      <w:r w:rsidRPr="00F5497F">
        <w:rPr>
          <w:szCs w:val="20"/>
          <w:lang w:val="en-GB"/>
        </w:rPr>
        <w:t>possible explanations exist. This approach is consistent with EU pharmacovigilance principles and supports early identification of potential safety signals.</w:t>
      </w:r>
    </w:p>
    <w:p w14:paraId="04C3D864" w14:textId="77777777" w:rsidR="00E71B91" w:rsidRPr="00F5497F" w:rsidRDefault="00E71B91" w:rsidP="00F5497F">
      <w:pPr>
        <w:pStyle w:val="NormalWeb"/>
        <w:spacing w:before="0" w:beforeAutospacing="0" w:after="0" w:afterAutospacing="0"/>
        <w:jc w:val="both"/>
      </w:pPr>
    </w:p>
    <w:p w14:paraId="68512BD9" w14:textId="77777777" w:rsidR="00E71B91" w:rsidRPr="00F5497F" w:rsidRDefault="00E71B91" w:rsidP="002202BA">
      <w:pPr>
        <w:pStyle w:val="Heading4"/>
        <w:spacing w:after="60"/>
        <w:ind w:left="0"/>
        <w:jc w:val="both"/>
      </w:pPr>
      <w:r w:rsidRPr="00F5497F">
        <w:t>Should I report an ADR that is already known or listed in the SmPC?</w:t>
      </w:r>
    </w:p>
    <w:p w14:paraId="0D0C1487" w14:textId="77777777" w:rsidR="006C3A63" w:rsidRPr="00F5497F" w:rsidRDefault="006C3A63" w:rsidP="00E71B91">
      <w:pPr>
        <w:pStyle w:val="NormalWeb"/>
        <w:spacing w:before="0" w:beforeAutospacing="0" w:after="0" w:afterAutospacing="0"/>
        <w:jc w:val="both"/>
        <w:rPr>
          <w:szCs w:val="20"/>
          <w:lang w:val="en-GB"/>
        </w:rPr>
      </w:pPr>
    </w:p>
    <w:p w14:paraId="46BC8D5D" w14:textId="77777777" w:rsidR="004C5122" w:rsidRPr="00F5497F" w:rsidRDefault="004C5122" w:rsidP="004C5122">
      <w:pPr>
        <w:pStyle w:val="NormalWeb"/>
        <w:spacing w:before="0" w:beforeAutospacing="0" w:after="0" w:afterAutospacing="0"/>
        <w:jc w:val="both"/>
      </w:pPr>
      <w:r w:rsidRPr="00F5497F">
        <w:t>Yes. Reporting should not be limited to reactions that are novel or unexpected. Continued reporting of known adverse drug reactions (ADRs) remains important, as it may help identify changes in frequency, severity, clinical presentation, or affected patient populations, including special populations. Such reports contribute to the ongoing evaluation of the benefit–risk profile of medicinal products throughout their lifecycle.</w:t>
      </w:r>
    </w:p>
    <w:p w14:paraId="04082132" w14:textId="77777777" w:rsidR="004C5122" w:rsidRPr="00F5497F" w:rsidRDefault="004C5122" w:rsidP="004C5122">
      <w:pPr>
        <w:pStyle w:val="NormalWeb"/>
        <w:spacing w:before="0" w:beforeAutospacing="0" w:after="0" w:afterAutospacing="0"/>
        <w:jc w:val="both"/>
      </w:pPr>
    </w:p>
    <w:p w14:paraId="4A880D0A" w14:textId="77777777" w:rsidR="004C5122" w:rsidRPr="00F5497F" w:rsidRDefault="004C5122" w:rsidP="004C5122">
      <w:pPr>
        <w:pStyle w:val="NormalWeb"/>
        <w:spacing w:before="0" w:beforeAutospacing="0" w:after="0" w:afterAutospacing="0"/>
        <w:jc w:val="both"/>
      </w:pPr>
      <w:r w:rsidRPr="00F5497F">
        <w:t xml:space="preserve">At the same time, the Authority </w:t>
      </w:r>
      <w:proofErr w:type="spellStart"/>
      <w:r w:rsidRPr="00F5497F">
        <w:t>recognises</w:t>
      </w:r>
      <w:proofErr w:type="spellEnd"/>
      <w:r w:rsidRPr="00F5497F">
        <w:t xml:space="preserve"> that healthcare professionals may face practical time constraints in routine clinical practice. While the reporting of all suspected ADRs is encouraged, particular emphasis should be placed on reporting cases with the greatest potential value for pharmacovigilance and public health protection.</w:t>
      </w:r>
    </w:p>
    <w:p w14:paraId="3A635C8B" w14:textId="77777777" w:rsidR="004C5122" w:rsidRPr="00F5497F" w:rsidRDefault="004C5122" w:rsidP="004C5122">
      <w:pPr>
        <w:pStyle w:val="NormalWeb"/>
        <w:spacing w:before="0" w:beforeAutospacing="0" w:after="0" w:afterAutospacing="0"/>
        <w:jc w:val="both"/>
      </w:pPr>
    </w:p>
    <w:p w14:paraId="4D7522C6" w14:textId="16EB4FF0" w:rsidR="004C5122" w:rsidRPr="00F5497F" w:rsidRDefault="004C5122" w:rsidP="004C5122">
      <w:pPr>
        <w:pStyle w:val="NormalWeb"/>
        <w:spacing w:before="0" w:beforeAutospacing="0" w:after="0" w:afterAutospacing="0"/>
        <w:jc w:val="both"/>
      </w:pPr>
      <w:r w:rsidRPr="00F5497F">
        <w:t>Healthcare professionals are therefore especially encouraged to report:</w:t>
      </w:r>
    </w:p>
    <w:p w14:paraId="3A2A3B4D" w14:textId="695031CD" w:rsidR="004C5122" w:rsidRPr="00F5497F" w:rsidRDefault="004C5122" w:rsidP="004C5122">
      <w:pPr>
        <w:pStyle w:val="NormalWeb"/>
        <w:spacing w:before="0" w:beforeAutospacing="0" w:after="0" w:afterAutospacing="0"/>
        <w:ind w:left="720"/>
      </w:pPr>
      <w:r w:rsidRPr="00F5497F">
        <w:t>• serious ADRs;</w:t>
      </w:r>
      <w:r w:rsidRPr="00F5497F">
        <w:br/>
        <w:t>• unexpected, unusual, or clinically significant ADRs;</w:t>
      </w:r>
      <w:r w:rsidRPr="00F5497F">
        <w:br/>
        <w:t xml:space="preserve">• suspected ADRs associated with newly </w:t>
      </w:r>
      <w:proofErr w:type="spellStart"/>
      <w:r w:rsidRPr="00F5497F">
        <w:t>authorised</w:t>
      </w:r>
      <w:proofErr w:type="spellEnd"/>
      <w:r w:rsidRPr="00F5497F">
        <w:t xml:space="preserve"> medicines or medicines under additional monitoring;</w:t>
      </w:r>
      <w:r w:rsidRPr="00F5497F">
        <w:br/>
        <w:t xml:space="preserve">• ADRs occurring in vulnerable or underrepresented populations in clinical trials (e.g. </w:t>
      </w:r>
      <w:proofErr w:type="spellStart"/>
      <w:r w:rsidRPr="00F5497F">
        <w:t>paediatric</w:t>
      </w:r>
      <w:proofErr w:type="spellEnd"/>
      <w:r w:rsidRPr="00F5497F">
        <w:t>, elderly, or pregnant patients);</w:t>
      </w:r>
      <w:r w:rsidRPr="00F5497F">
        <w:br/>
        <w:t xml:space="preserve">• reactions associated with unusual patterns, increased severity, or lack of efficacy </w:t>
      </w:r>
      <w:r w:rsidRPr="00F5497F">
        <w:lastRenderedPageBreak/>
        <w:t>where clinically relevant; and</w:t>
      </w:r>
      <w:r w:rsidRPr="00F5497F">
        <w:br/>
        <w:t>• suspected medication errors associated with harm, or near misses with the potential to cause harm.</w:t>
      </w:r>
    </w:p>
    <w:p w14:paraId="667CC906" w14:textId="77777777" w:rsidR="004C5122" w:rsidRPr="00F5497F" w:rsidRDefault="004C5122" w:rsidP="004C5122">
      <w:pPr>
        <w:pStyle w:val="NormalWeb"/>
        <w:spacing w:before="0" w:beforeAutospacing="0" w:after="0" w:afterAutospacing="0"/>
        <w:ind w:left="720"/>
      </w:pPr>
    </w:p>
    <w:p w14:paraId="0131D4EA" w14:textId="77777777" w:rsidR="004C5122" w:rsidRPr="00F5497F" w:rsidRDefault="004C5122" w:rsidP="004C5122">
      <w:pPr>
        <w:pStyle w:val="NormalWeb"/>
        <w:spacing w:before="0" w:beforeAutospacing="0" w:after="0" w:afterAutospacing="0"/>
        <w:jc w:val="both"/>
      </w:pPr>
      <w:r w:rsidRPr="00F5497F">
        <w:t xml:space="preserve">Even where an ADR is already </w:t>
      </w:r>
      <w:proofErr w:type="spellStart"/>
      <w:r w:rsidRPr="00F5497F">
        <w:t>recognised</w:t>
      </w:r>
      <w:proofErr w:type="spellEnd"/>
      <w:r w:rsidRPr="00F5497F">
        <w:t xml:space="preserve">, well-documented reports may provide important additional information and contribute to the detection of emerging safety concerns at both national and EU </w:t>
      </w:r>
      <w:proofErr w:type="gramStart"/>
      <w:r w:rsidRPr="00F5497F">
        <w:t>level</w:t>
      </w:r>
      <w:proofErr w:type="gramEnd"/>
      <w:r w:rsidRPr="00F5497F">
        <w:t>.</w:t>
      </w:r>
    </w:p>
    <w:p w14:paraId="0397B95C" w14:textId="77777777" w:rsidR="0082671B" w:rsidRPr="00F5497F" w:rsidRDefault="0082671B" w:rsidP="00E71B91">
      <w:pPr>
        <w:pStyle w:val="NormalWeb"/>
        <w:spacing w:before="0" w:beforeAutospacing="0" w:after="0" w:afterAutospacing="0"/>
        <w:jc w:val="both"/>
        <w:rPr>
          <w:szCs w:val="20"/>
        </w:rPr>
      </w:pPr>
    </w:p>
    <w:p w14:paraId="524C098F" w14:textId="77777777" w:rsidR="00E71B91" w:rsidRDefault="00E71B91" w:rsidP="002202BA">
      <w:pPr>
        <w:pStyle w:val="Heading4"/>
        <w:spacing w:after="60"/>
        <w:ind w:left="0"/>
        <w:jc w:val="both"/>
      </w:pPr>
      <w:r w:rsidRPr="00F5497F">
        <w:t>Who is responsible for reporting when several healthcare professionals are involved?</w:t>
      </w:r>
    </w:p>
    <w:p w14:paraId="6AA28F5D" w14:textId="77777777" w:rsidR="00F5497F" w:rsidRPr="00F5497F" w:rsidRDefault="00F5497F" w:rsidP="00F5497F"/>
    <w:p w14:paraId="1858861B" w14:textId="77777777" w:rsidR="00E014FB" w:rsidRPr="00F5497F" w:rsidRDefault="00E014FB" w:rsidP="00E014FB">
      <w:pPr>
        <w:pStyle w:val="NormalWeb"/>
        <w:spacing w:before="0" w:beforeAutospacing="0" w:after="0" w:afterAutospacing="0"/>
        <w:jc w:val="both"/>
      </w:pPr>
      <w:r w:rsidRPr="00F5497F">
        <w:t>In multidisciplinary or shared-care settings, pharmacovigilance is a shared professional responsibility. Any healthcare professional who becomes aware of a suspected adverse drug reaction (ADR) may submit a report, regardless of whether they prescribed the medicinal product or first identified the reaction.</w:t>
      </w:r>
    </w:p>
    <w:p w14:paraId="3FA8B627" w14:textId="77777777" w:rsidR="00E014FB" w:rsidRPr="00F5497F" w:rsidRDefault="00E014FB" w:rsidP="00E014FB">
      <w:pPr>
        <w:pStyle w:val="NormalWeb"/>
        <w:spacing w:before="0" w:beforeAutospacing="0" w:after="0" w:afterAutospacing="0"/>
        <w:jc w:val="both"/>
      </w:pPr>
    </w:p>
    <w:p w14:paraId="171D74C8" w14:textId="08516777" w:rsidR="00E014FB" w:rsidRPr="00F5497F" w:rsidRDefault="00E014FB" w:rsidP="00E014FB">
      <w:pPr>
        <w:pStyle w:val="NormalWeb"/>
        <w:spacing w:before="0" w:beforeAutospacing="0" w:after="0" w:afterAutospacing="0"/>
        <w:jc w:val="both"/>
      </w:pPr>
      <w:r w:rsidRPr="00F5497F">
        <w:t>Uncertainty regarding who should report should not prevent or delay the submission of an ADR report. Where multiple healthcare professionals are involved in a patient’s care, the risk of duplicate reporting is preferable to non-reporting. Potential duplicate reports are routinely identified and managed as part of pharmacovigilance data processing by the Authority.</w:t>
      </w:r>
    </w:p>
    <w:p w14:paraId="0C941D55" w14:textId="77777777" w:rsidR="00E014FB" w:rsidRPr="00F5497F" w:rsidRDefault="00E014FB" w:rsidP="00E014FB">
      <w:pPr>
        <w:pStyle w:val="NormalWeb"/>
        <w:spacing w:before="0" w:beforeAutospacing="0" w:after="0" w:afterAutospacing="0"/>
        <w:jc w:val="both"/>
      </w:pPr>
    </w:p>
    <w:p w14:paraId="192AC8E6" w14:textId="77777777" w:rsidR="00E014FB" w:rsidRPr="00F5497F" w:rsidRDefault="00E014FB" w:rsidP="00E014FB">
      <w:pPr>
        <w:pStyle w:val="NormalWeb"/>
        <w:spacing w:before="0" w:beforeAutospacing="0" w:after="0" w:afterAutospacing="0"/>
        <w:jc w:val="both"/>
        <w:rPr>
          <w:lang w:val="en-GB"/>
        </w:rPr>
      </w:pPr>
      <w:r w:rsidRPr="00F5497F">
        <w:rPr>
          <w:lang w:val="en-GB"/>
        </w:rPr>
        <w:t xml:space="preserve">Communication and discussion between healthcare professionals may help improve the completeness and accuracy of ADR reports. However, efforts to coordinate reporting responsibilities should not delay or impede the submission of a suspected ADR report. </w:t>
      </w:r>
    </w:p>
    <w:p w14:paraId="0CC60097" w14:textId="77777777" w:rsidR="00E014FB" w:rsidRPr="00F5497F" w:rsidRDefault="00E014FB" w:rsidP="00E014FB">
      <w:pPr>
        <w:pStyle w:val="NormalWeb"/>
        <w:spacing w:before="0" w:beforeAutospacing="0" w:after="0" w:afterAutospacing="0"/>
        <w:jc w:val="both"/>
        <w:rPr>
          <w:lang w:val="en-GB"/>
        </w:rPr>
      </w:pPr>
    </w:p>
    <w:p w14:paraId="15923668" w14:textId="1969D967" w:rsidR="00E014FB" w:rsidRPr="00F5497F" w:rsidRDefault="00E014FB" w:rsidP="00E014FB">
      <w:pPr>
        <w:pStyle w:val="NormalWeb"/>
        <w:spacing w:before="0" w:beforeAutospacing="0" w:after="0" w:afterAutospacing="0"/>
        <w:jc w:val="both"/>
      </w:pPr>
      <w:r w:rsidRPr="00F5497F">
        <w:rPr>
          <w:lang w:val="en-GB"/>
        </w:rPr>
        <w:t>Where additional information becomes available following further clinical discussion or investigation, this may subsequently be submitted as follow-up information to the original report.</w:t>
      </w:r>
    </w:p>
    <w:p w14:paraId="031C8318" w14:textId="77777777" w:rsidR="00E71B91" w:rsidRPr="00F5497F" w:rsidRDefault="00E71B91" w:rsidP="00E71B91">
      <w:pPr>
        <w:pStyle w:val="NormalWeb"/>
        <w:spacing w:before="0" w:beforeAutospacing="0" w:after="0" w:afterAutospacing="0"/>
        <w:jc w:val="both"/>
        <w:rPr>
          <w:szCs w:val="20"/>
        </w:rPr>
      </w:pPr>
    </w:p>
    <w:p w14:paraId="77DDEF08" w14:textId="77777777" w:rsidR="00E71B91" w:rsidRPr="00F5497F" w:rsidRDefault="00E71B91" w:rsidP="002202BA">
      <w:pPr>
        <w:pStyle w:val="Heading4"/>
        <w:spacing w:after="60"/>
        <w:ind w:left="0"/>
        <w:jc w:val="both"/>
      </w:pPr>
      <w:r w:rsidRPr="00F5497F">
        <w:t>Is reporting difficult or time</w:t>
      </w:r>
      <w:r w:rsidRPr="00F5497F">
        <w:noBreakHyphen/>
        <w:t>consuming?</w:t>
      </w:r>
    </w:p>
    <w:p w14:paraId="328E3491" w14:textId="77777777" w:rsidR="00882D41" w:rsidRPr="00F5497F" w:rsidRDefault="00882D41" w:rsidP="00882D41">
      <w:pPr>
        <w:pStyle w:val="NormalWeb"/>
        <w:spacing w:before="0" w:beforeAutospacing="0" w:after="0" w:afterAutospacing="0"/>
        <w:jc w:val="both"/>
      </w:pPr>
    </w:p>
    <w:p w14:paraId="1F80B2F5" w14:textId="77C3EDFF" w:rsidR="00882D41" w:rsidRPr="00F5497F" w:rsidRDefault="00882D41" w:rsidP="00882D41">
      <w:pPr>
        <w:pStyle w:val="NormalWeb"/>
        <w:spacing w:before="0" w:beforeAutospacing="0" w:after="0" w:afterAutospacing="0"/>
        <w:jc w:val="both"/>
      </w:pPr>
      <w:r w:rsidRPr="00F5497F">
        <w:t>ADR reporting should not be considered difficult or overly time consuming. Healthcare professionals who are unfamiliar with ADR reporting may initially perceive reporting forms as complex or intimidating. However, the reporting forms are designed to allow the collection of a wide range of clinical information which may be relevant for pharmacovigilance assessment, depending on the nature of the case.</w:t>
      </w:r>
    </w:p>
    <w:p w14:paraId="10D0475B" w14:textId="77777777" w:rsidR="00882D41" w:rsidRPr="00F5497F" w:rsidRDefault="00882D41" w:rsidP="00882D41">
      <w:pPr>
        <w:pStyle w:val="NormalWeb"/>
        <w:spacing w:before="0" w:beforeAutospacing="0" w:after="0" w:afterAutospacing="0"/>
        <w:jc w:val="both"/>
      </w:pPr>
    </w:p>
    <w:p w14:paraId="275E36B9" w14:textId="0655CB40" w:rsidR="00882D41" w:rsidRDefault="00882D41" w:rsidP="00882D41">
      <w:pPr>
        <w:pStyle w:val="NormalWeb"/>
        <w:spacing w:before="0" w:beforeAutospacing="0" w:after="0" w:afterAutospacing="0"/>
        <w:jc w:val="both"/>
      </w:pPr>
      <w:r w:rsidRPr="00F5497F">
        <w:t>Reports may still be submitted even when some information is unavailable, provided the minimum criteria for a valid report are met (see Section 6.5). Healthcare professionals should therefore not delay reporting solely because certain details are still pending or unknown.</w:t>
      </w:r>
    </w:p>
    <w:p w14:paraId="5F327208" w14:textId="77777777" w:rsidR="00F5497F" w:rsidRPr="00F5497F" w:rsidRDefault="00F5497F" w:rsidP="00882D41">
      <w:pPr>
        <w:pStyle w:val="NormalWeb"/>
        <w:spacing w:before="0" w:beforeAutospacing="0" w:after="0" w:afterAutospacing="0"/>
        <w:jc w:val="both"/>
      </w:pPr>
    </w:p>
    <w:p w14:paraId="64662940" w14:textId="3E1AB1DA" w:rsidR="00882D41" w:rsidRPr="00F5497F" w:rsidRDefault="00882D41" w:rsidP="00F5497F">
      <w:pPr>
        <w:pStyle w:val="NormalWeb"/>
        <w:spacing w:before="0" w:beforeAutospacing="0" w:after="0" w:afterAutospacing="0"/>
        <w:jc w:val="both"/>
      </w:pPr>
      <w:r w:rsidRPr="00F5497F">
        <w:t>At the same time, experience has shown that reports containing only minimal information may limit meaningful causality assessment and often require follow-up requests for additional clarification. Where reasonably available, the inclusion of key clinical details — such as relevant medical history, timing of the reaction, concomitant medicines, treatment provided, and patient outcome — supports more efficient assessment and reduces the need for subsequent follow-up.</w:t>
      </w:r>
    </w:p>
    <w:p w14:paraId="4D9D141D" w14:textId="77777777" w:rsidR="00882D41" w:rsidRPr="00F5497F" w:rsidRDefault="00882D41" w:rsidP="00F5497F">
      <w:pPr>
        <w:pStyle w:val="NormalWeb"/>
        <w:spacing w:before="0" w:beforeAutospacing="0" w:after="0" w:afterAutospacing="0"/>
        <w:jc w:val="both"/>
      </w:pPr>
    </w:p>
    <w:p w14:paraId="3E49787B" w14:textId="44A9816A" w:rsidR="00882D41" w:rsidRDefault="00882D41" w:rsidP="00882D41">
      <w:pPr>
        <w:pStyle w:val="NormalWeb"/>
        <w:spacing w:before="0" w:beforeAutospacing="0" w:after="0" w:afterAutospacing="0"/>
        <w:jc w:val="both"/>
      </w:pPr>
      <w:r w:rsidRPr="00F5497F">
        <w:t xml:space="preserve">Healthcare professionals are therefore encouraged, where practical, to provide all relevant information available at the time of reporting. Supporting clinical documentation or free-text </w:t>
      </w:r>
      <w:r w:rsidRPr="00F5497F">
        <w:lastRenderedPageBreak/>
        <w:t>summaries may also be attached where this is easier than manually entering all information into structured fields.</w:t>
      </w:r>
    </w:p>
    <w:p w14:paraId="136925AD" w14:textId="77777777" w:rsidR="00F5497F" w:rsidRPr="00F5497F" w:rsidRDefault="00F5497F" w:rsidP="00882D41">
      <w:pPr>
        <w:pStyle w:val="NormalWeb"/>
        <w:spacing w:before="0" w:beforeAutospacing="0" w:after="0" w:afterAutospacing="0"/>
        <w:jc w:val="both"/>
      </w:pPr>
    </w:p>
    <w:p w14:paraId="239FE6AB" w14:textId="77777777" w:rsidR="00882D41" w:rsidRPr="00F5497F" w:rsidRDefault="00882D41" w:rsidP="00882D41">
      <w:pPr>
        <w:pStyle w:val="NormalWeb"/>
        <w:spacing w:before="0" w:beforeAutospacing="0" w:after="0" w:afterAutospacing="0"/>
        <w:jc w:val="both"/>
      </w:pPr>
      <w:r w:rsidRPr="00F5497F">
        <w:t>Where specific information is unknown or cannot reasonably be obtained, this should preferably be indicated as “unknown” rather than left blank, as blank fields may create uncertainty as to whether the information was unavailable or inadvertently omitted.</w:t>
      </w:r>
    </w:p>
    <w:p w14:paraId="36203B25" w14:textId="77777777" w:rsidR="00E71B91" w:rsidRPr="00F5497F" w:rsidRDefault="00E71B91" w:rsidP="00E71B91">
      <w:pPr>
        <w:pStyle w:val="NormalWeb"/>
        <w:spacing w:before="0" w:beforeAutospacing="0" w:after="0" w:afterAutospacing="0"/>
        <w:jc w:val="both"/>
        <w:rPr>
          <w:szCs w:val="20"/>
        </w:rPr>
      </w:pPr>
    </w:p>
    <w:p w14:paraId="0D89CBF7" w14:textId="77777777" w:rsidR="00E71B91" w:rsidRPr="00F5497F" w:rsidRDefault="00E71B91" w:rsidP="002202BA">
      <w:pPr>
        <w:pStyle w:val="Heading4"/>
        <w:spacing w:after="60"/>
        <w:ind w:left="0"/>
        <w:jc w:val="both"/>
      </w:pPr>
      <w:r w:rsidRPr="00F5497F">
        <w:t>Does an individual report really make a difference?</w:t>
      </w:r>
    </w:p>
    <w:p w14:paraId="34863B64" w14:textId="77777777" w:rsidR="000D22E8" w:rsidRPr="00F5497F" w:rsidRDefault="000D22E8" w:rsidP="00E71B91">
      <w:pPr>
        <w:pStyle w:val="NormalWeb"/>
        <w:spacing w:before="0" w:beforeAutospacing="0" w:after="0" w:afterAutospacing="0"/>
        <w:jc w:val="both"/>
        <w:rPr>
          <w:szCs w:val="20"/>
          <w:lang w:val="en-GB"/>
        </w:rPr>
      </w:pPr>
    </w:p>
    <w:p w14:paraId="491F0536" w14:textId="46DCFDA0" w:rsidR="000D22E8" w:rsidRPr="00F5497F" w:rsidRDefault="000D22E8" w:rsidP="000D22E8">
      <w:pPr>
        <w:jc w:val="both"/>
      </w:pPr>
      <w:r w:rsidRPr="00F5497F">
        <w:t>Each individual report contributes to the overall body of safety data available for a medicinal product. When reports are aggregated within systems such as EudraVigilance, they support the detection and evaluation of potential safety signals, including rare or previously unrecognised adverse reactions. These signals may subsequently lead to further investigation and, where necessary, regulatory action to protect public health. Even a single, well-documented report may be important in supporting the identification of a safety signal and informing regulatory decision-making at both national and EU level.</w:t>
      </w:r>
    </w:p>
    <w:p w14:paraId="4617CD3F" w14:textId="77777777" w:rsidR="000D22E8" w:rsidRPr="00F5497F" w:rsidRDefault="000D22E8" w:rsidP="000D22E8">
      <w:pPr>
        <w:jc w:val="both"/>
      </w:pPr>
    </w:p>
    <w:p w14:paraId="1A29C18E" w14:textId="77777777" w:rsidR="000D22E8" w:rsidRPr="00F5497F" w:rsidRDefault="000D22E8" w:rsidP="000D22E8">
      <w:pPr>
        <w:pStyle w:val="ListBullet"/>
        <w:numPr>
          <w:ilvl w:val="0"/>
          <w:numId w:val="0"/>
        </w:numPr>
        <w:tabs>
          <w:tab w:val="left" w:pos="0"/>
        </w:tabs>
        <w:jc w:val="both"/>
        <w:rPr>
          <w:rFonts w:ascii="Times New Roman" w:eastAsia="Times New Roman" w:hAnsi="Times New Roman"/>
          <w:sz w:val="24"/>
          <w:szCs w:val="20"/>
          <w:lang w:val="en-GB"/>
        </w:rPr>
      </w:pPr>
      <w:r w:rsidRPr="00F5497F">
        <w:rPr>
          <w:rFonts w:ascii="Times New Roman" w:eastAsia="Times New Roman" w:hAnsi="Times New Roman"/>
          <w:sz w:val="24"/>
          <w:szCs w:val="20"/>
          <w:lang w:val="en-GB"/>
        </w:rPr>
        <w:t>If healthcare professionals assume that their individual report does not matter and therefore choose not to report, this contributes to systemic under-reporting and undermines the effectiveness of the pharmacovigilance system. Although spontaneous reporting has recognised limitations, it remains a cornerstone of pharmacovigilance and post-authorisation safety monitoring.</w:t>
      </w:r>
    </w:p>
    <w:p w14:paraId="4EF32BFE" w14:textId="77777777" w:rsidR="000D22E8" w:rsidRPr="00F5497F" w:rsidRDefault="000D22E8" w:rsidP="000D22E8">
      <w:pPr>
        <w:pStyle w:val="ListBullet"/>
        <w:numPr>
          <w:ilvl w:val="0"/>
          <w:numId w:val="0"/>
        </w:numPr>
        <w:tabs>
          <w:tab w:val="left" w:pos="0"/>
        </w:tabs>
        <w:jc w:val="both"/>
        <w:rPr>
          <w:rFonts w:ascii="Times New Roman" w:eastAsia="Times New Roman" w:hAnsi="Times New Roman"/>
          <w:sz w:val="24"/>
          <w:szCs w:val="20"/>
          <w:lang w:val="en-GB"/>
        </w:rPr>
      </w:pPr>
    </w:p>
    <w:p w14:paraId="31F5778B" w14:textId="16925BF8" w:rsidR="00E71B91" w:rsidRPr="00F5497F" w:rsidRDefault="000D22E8" w:rsidP="00F5497F">
      <w:pPr>
        <w:pStyle w:val="ListBullet"/>
        <w:numPr>
          <w:ilvl w:val="0"/>
          <w:numId w:val="0"/>
        </w:numPr>
        <w:tabs>
          <w:tab w:val="left" w:pos="0"/>
        </w:tabs>
        <w:spacing w:after="0" w:line="240" w:lineRule="auto"/>
        <w:jc w:val="both"/>
        <w:rPr>
          <w:rFonts w:ascii="Times New Roman" w:hAnsi="Times New Roman"/>
        </w:rPr>
      </w:pPr>
      <w:r w:rsidRPr="00F5497F">
        <w:rPr>
          <w:rFonts w:ascii="Times New Roman" w:hAnsi="Times New Roman"/>
        </w:rPr>
        <w:t>Healthcare professionals are therefore encouraged to report</w:t>
      </w:r>
      <w:r w:rsidRPr="00F5497F">
        <w:rPr>
          <w:rFonts w:ascii="Times New Roman" w:hAnsi="Times New Roman"/>
          <w:sz w:val="24"/>
          <w:lang w:val="en-GB"/>
        </w:rPr>
        <w:t xml:space="preserve"> suspected adverse drug reactions </w:t>
      </w:r>
      <w:r w:rsidRPr="00F5497F">
        <w:rPr>
          <w:rFonts w:ascii="Times New Roman" w:eastAsia="Times New Roman" w:hAnsi="Times New Roman"/>
          <w:sz w:val="24"/>
          <w:szCs w:val="20"/>
          <w:lang w:val="en-GB"/>
        </w:rPr>
        <w:t>as part of their professional responsibility and contribution to patient safety</w:t>
      </w:r>
      <w:r w:rsidRPr="00F5497F">
        <w:rPr>
          <w:rFonts w:ascii="Times New Roman" w:hAnsi="Times New Roman"/>
          <w:sz w:val="24"/>
          <w:lang w:val="en-GB"/>
        </w:rPr>
        <w:t>.</w:t>
      </w:r>
    </w:p>
    <w:p w14:paraId="30F7DAA7" w14:textId="07DEFFC1" w:rsidR="00E71B91" w:rsidRPr="00F5497F" w:rsidRDefault="00E71B91" w:rsidP="00E71B91">
      <w:pPr>
        <w:jc w:val="both"/>
      </w:pPr>
    </w:p>
    <w:p w14:paraId="2F8BF343" w14:textId="77777777" w:rsidR="00560B0F" w:rsidRPr="00F5497F" w:rsidRDefault="00560B0F" w:rsidP="009E1C4C">
      <w:pPr>
        <w:pStyle w:val="Heading1"/>
        <w:numPr>
          <w:ilvl w:val="0"/>
          <w:numId w:val="102"/>
        </w:numPr>
        <w:spacing w:after="180"/>
        <w:ind w:left="425" w:hanging="425"/>
        <w:jc w:val="both"/>
        <w:rPr>
          <w:rFonts w:ascii="Times New Roman" w:hAnsi="Times New Roman" w:cs="Times New Roman"/>
          <w:sz w:val="28"/>
          <w:szCs w:val="28"/>
        </w:rPr>
      </w:pPr>
      <w:bookmarkStart w:id="52" w:name="_Toc236130015"/>
      <w:r w:rsidRPr="00F5497F">
        <w:rPr>
          <w:rFonts w:ascii="Times New Roman" w:hAnsi="Times New Roman" w:cs="Times New Roman"/>
          <w:sz w:val="28"/>
          <w:szCs w:val="28"/>
        </w:rPr>
        <w:t>What happens after you report</w:t>
      </w:r>
      <w:bookmarkEnd w:id="52"/>
    </w:p>
    <w:p w14:paraId="26781A3F" w14:textId="1696D0A1" w:rsidR="00E66531" w:rsidRPr="00F5497F" w:rsidRDefault="00E66531" w:rsidP="00E66531">
      <w:pPr>
        <w:jc w:val="both"/>
      </w:pPr>
      <w:r w:rsidRPr="00F5497F">
        <w:t>Once your report is received, it is assigned a unique report identification number. This reference number is used for any future follow-up or correspondence relating to the case. T</w:t>
      </w:r>
      <w:r w:rsidR="00C933F6" w:rsidRPr="00F5497F">
        <w:t xml:space="preserve">he reports are validated and </w:t>
      </w:r>
      <w:r w:rsidR="00560B0F" w:rsidRPr="00F5497F">
        <w:t>assessed by the Authority</w:t>
      </w:r>
      <w:r w:rsidRPr="00F5497F">
        <w:t xml:space="preserve">. Where important information is missing, the Authority may contact the reporter to request follow-up details relevant to the assessment of the case. </w:t>
      </w:r>
    </w:p>
    <w:p w14:paraId="329BAF61" w14:textId="77777777" w:rsidR="00E66531" w:rsidRPr="00F5497F" w:rsidRDefault="00E66531" w:rsidP="00E66531">
      <w:pPr>
        <w:jc w:val="both"/>
      </w:pPr>
    </w:p>
    <w:p w14:paraId="2C368396" w14:textId="39DBF984" w:rsidR="00C933F6" w:rsidRPr="00F5497F" w:rsidRDefault="00E66531" w:rsidP="00F5497F">
      <w:pPr>
        <w:jc w:val="both"/>
      </w:pPr>
      <w:r w:rsidRPr="00F5497F">
        <w:t xml:space="preserve">Following assessment, the report is </w:t>
      </w:r>
      <w:r w:rsidR="00E95436" w:rsidRPr="00F5497F">
        <w:t xml:space="preserve">electronically </w:t>
      </w:r>
      <w:r w:rsidR="00560B0F" w:rsidRPr="00F5497F">
        <w:t>submitted to EudraVigilance</w:t>
      </w:r>
      <w:r w:rsidR="00C933F6" w:rsidRPr="00F5497F">
        <w:t xml:space="preserve"> (the EU</w:t>
      </w:r>
      <w:r w:rsidR="00C933F6" w:rsidRPr="00F5497F">
        <w:noBreakHyphen/>
        <w:t>wide database for suspected adverse reactions)</w:t>
      </w:r>
      <w:r w:rsidR="00560B0F" w:rsidRPr="00F5497F">
        <w:t xml:space="preserve">. </w:t>
      </w:r>
    </w:p>
    <w:p w14:paraId="4262E7F6" w14:textId="4280887D" w:rsidR="008024A3" w:rsidRPr="00F5497F" w:rsidRDefault="008024A3" w:rsidP="009E1C4C">
      <w:pPr>
        <w:jc w:val="both"/>
      </w:pPr>
    </w:p>
    <w:p w14:paraId="6769935E" w14:textId="378E0A26" w:rsidR="008024A3" w:rsidRPr="00F5497F" w:rsidRDefault="008024A3" w:rsidP="009E1C4C">
      <w:pPr>
        <w:jc w:val="both"/>
      </w:pPr>
      <w:r w:rsidRPr="00F5497F">
        <w:t>EudraVigilance collects reports from across the European Economic Area (EEA) relating to medicinal products used in routine clinical practice or in clinical trials. The aggregation of data at EU level allows regulators to detect and analyse safety signals that may not be evident from individual cases.</w:t>
      </w:r>
    </w:p>
    <w:p w14:paraId="58477688" w14:textId="77777777" w:rsidR="008024A3" w:rsidRPr="00F5497F" w:rsidRDefault="008024A3" w:rsidP="009E1C4C">
      <w:pPr>
        <w:jc w:val="both"/>
      </w:pPr>
    </w:p>
    <w:p w14:paraId="489B2323" w14:textId="0402A390" w:rsidR="00EA3CC8" w:rsidRDefault="008024A3" w:rsidP="009E1C4C">
      <w:pPr>
        <w:jc w:val="both"/>
      </w:pPr>
      <w:r w:rsidRPr="00F5497F">
        <w:t>When a potential safety issue is identified, a regulatory review is initiated. These issues are assessed at EU level by expert bodies, such as the Pharmacovigilance Risk Assessment Committee (PRAC) of the European Medicines Agency (EMA), which is responsible for the safety monitoring of human medicines.</w:t>
      </w:r>
    </w:p>
    <w:p w14:paraId="5EC50D30" w14:textId="77777777" w:rsidR="006528A7" w:rsidRPr="00F5497F" w:rsidRDefault="006528A7" w:rsidP="009E1C4C">
      <w:pPr>
        <w:jc w:val="both"/>
      </w:pPr>
    </w:p>
    <w:p w14:paraId="029FC67E" w14:textId="77777777" w:rsidR="00EA3CC8" w:rsidRPr="00F5497F" w:rsidRDefault="00EA3CC8" w:rsidP="009E1C4C">
      <w:pPr>
        <w:jc w:val="both"/>
      </w:pPr>
    </w:p>
    <w:p w14:paraId="468E7BE8" w14:textId="74498D06" w:rsidR="008024A3" w:rsidRPr="00F5497F" w:rsidRDefault="008024A3" w:rsidP="009E1C4C">
      <w:pPr>
        <w:jc w:val="both"/>
      </w:pPr>
      <w:r w:rsidRPr="00F5497F">
        <w:lastRenderedPageBreak/>
        <w:t>Where necessary, regulatory action may follow, including:</w:t>
      </w:r>
    </w:p>
    <w:p w14:paraId="63344C99" w14:textId="44B4047C" w:rsidR="008024A3" w:rsidRPr="00F5497F" w:rsidRDefault="008024A3" w:rsidP="009E1C4C">
      <w:pPr>
        <w:numPr>
          <w:ilvl w:val="0"/>
          <w:numId w:val="56"/>
        </w:numPr>
        <w:jc w:val="both"/>
      </w:pPr>
      <w:r w:rsidRPr="00F5497F">
        <w:t>updates to the Summary of Product Characteristics (SmPC) and package leaflet</w:t>
      </w:r>
      <w:r w:rsidR="00EA3CC8" w:rsidRPr="00F5497F">
        <w:t>.</w:t>
      </w:r>
    </w:p>
    <w:p w14:paraId="686B67D7" w14:textId="491CD2B3" w:rsidR="008024A3" w:rsidRPr="00F5497F" w:rsidRDefault="008024A3" w:rsidP="009E1C4C">
      <w:pPr>
        <w:numPr>
          <w:ilvl w:val="0"/>
          <w:numId w:val="56"/>
        </w:numPr>
        <w:jc w:val="both"/>
      </w:pPr>
      <w:r w:rsidRPr="00F5497F">
        <w:t>additional warnings or educational materials for healthcare professionals or patients</w:t>
      </w:r>
      <w:r w:rsidR="00EA3CC8" w:rsidRPr="00F5497F">
        <w:t>.</w:t>
      </w:r>
    </w:p>
    <w:p w14:paraId="7B7B9046" w14:textId="77777777" w:rsidR="00EA3CC8" w:rsidRPr="00F5497F" w:rsidRDefault="008024A3" w:rsidP="009E1C4C">
      <w:pPr>
        <w:numPr>
          <w:ilvl w:val="0"/>
          <w:numId w:val="56"/>
        </w:numPr>
        <w:jc w:val="both"/>
      </w:pPr>
      <w:r w:rsidRPr="00F5497F">
        <w:t>changes to the recommended dose, indications, or prescribing status</w:t>
      </w:r>
      <w:r w:rsidR="00EA3CC8" w:rsidRPr="00F5497F">
        <w:t>.</w:t>
      </w:r>
    </w:p>
    <w:p w14:paraId="4E5AC038" w14:textId="77777777" w:rsidR="008024A3" w:rsidRPr="00F5497F" w:rsidRDefault="008024A3" w:rsidP="009E1C4C">
      <w:pPr>
        <w:numPr>
          <w:ilvl w:val="0"/>
          <w:numId w:val="56"/>
        </w:numPr>
        <w:jc w:val="both"/>
      </w:pPr>
      <w:r w:rsidRPr="00F5497F">
        <w:t>additional risk minimisation measures</w:t>
      </w:r>
      <w:r w:rsidR="00EA3CC8" w:rsidRPr="00F5497F">
        <w:t>.</w:t>
      </w:r>
    </w:p>
    <w:p w14:paraId="0A8D08AD" w14:textId="6E600730" w:rsidR="008024A3" w:rsidRPr="00F5497F" w:rsidRDefault="008024A3" w:rsidP="00F5497F">
      <w:pPr>
        <w:numPr>
          <w:ilvl w:val="0"/>
          <w:numId w:val="56"/>
        </w:numPr>
        <w:jc w:val="both"/>
      </w:pPr>
      <w:r w:rsidRPr="00F5497F">
        <w:t>in rare cases, restriction, suspension, or withdrawal of a medicine where the risks outweigh the benefits.</w:t>
      </w:r>
    </w:p>
    <w:p w14:paraId="5F9290A4" w14:textId="77777777" w:rsidR="008024A3" w:rsidRPr="00F5497F" w:rsidRDefault="008024A3" w:rsidP="00F5497F">
      <w:pPr>
        <w:spacing w:line="300" w:lineRule="atLeast"/>
        <w:jc w:val="both"/>
      </w:pPr>
    </w:p>
    <w:p w14:paraId="14C3BB79" w14:textId="41358D7A" w:rsidR="008024A3" w:rsidRPr="00F5497F" w:rsidRDefault="008024A3" w:rsidP="009E1C4C">
      <w:pPr>
        <w:spacing w:line="300" w:lineRule="atLeast"/>
        <w:jc w:val="both"/>
      </w:pPr>
      <w:r w:rsidRPr="00F5497F">
        <w:t>Each report contributes to patient safety, both locally and across the EU, and helps ensure that medicines continue to have a positive benefit–risk balance.</w:t>
      </w:r>
    </w:p>
    <w:p w14:paraId="5D0A83BA" w14:textId="77777777" w:rsidR="00560B0F" w:rsidRPr="00F5497F" w:rsidRDefault="00560B0F" w:rsidP="009E1C4C">
      <w:pPr>
        <w:jc w:val="both"/>
      </w:pPr>
    </w:p>
    <w:p w14:paraId="776C616A" w14:textId="3E8166D9" w:rsidR="00560B0F" w:rsidRPr="00F5497F" w:rsidRDefault="00560B0F" w:rsidP="00F5497F">
      <w:pPr>
        <w:pStyle w:val="Heading1"/>
        <w:numPr>
          <w:ilvl w:val="0"/>
          <w:numId w:val="102"/>
        </w:numPr>
        <w:spacing w:before="180" w:after="180"/>
        <w:ind w:left="425" w:hanging="425"/>
        <w:jc w:val="both"/>
        <w:rPr>
          <w:rFonts w:ascii="Times New Roman" w:hAnsi="Times New Roman" w:cs="Times New Roman"/>
        </w:rPr>
      </w:pPr>
      <w:bookmarkStart w:id="53" w:name="_Toc236130016"/>
      <w:r w:rsidRPr="00F5497F">
        <w:rPr>
          <w:rFonts w:ascii="Times New Roman" w:hAnsi="Times New Roman" w:cs="Times New Roman"/>
          <w:sz w:val="28"/>
        </w:rPr>
        <w:t xml:space="preserve">Safety </w:t>
      </w:r>
      <w:r w:rsidRPr="00F5497F">
        <w:rPr>
          <w:rFonts w:ascii="Times New Roman" w:hAnsi="Times New Roman" w:cs="Times New Roman"/>
          <w:sz w:val="28"/>
          <w:szCs w:val="28"/>
        </w:rPr>
        <w:t>communication</w:t>
      </w:r>
      <w:r w:rsidR="002C4A42" w:rsidRPr="00F5497F">
        <w:rPr>
          <w:rFonts w:ascii="Times New Roman" w:hAnsi="Times New Roman" w:cs="Times New Roman"/>
          <w:sz w:val="28"/>
          <w:szCs w:val="28"/>
        </w:rPr>
        <w:t xml:space="preserve"> and Risk Minimisation Measures</w:t>
      </w:r>
      <w:bookmarkEnd w:id="53"/>
      <w:r w:rsidR="002C4A42" w:rsidRPr="00F5497F">
        <w:rPr>
          <w:rFonts w:ascii="Times New Roman" w:hAnsi="Times New Roman" w:cs="Times New Roman"/>
          <w:sz w:val="28"/>
          <w:szCs w:val="28"/>
        </w:rPr>
        <w:t xml:space="preserve"> </w:t>
      </w:r>
    </w:p>
    <w:p w14:paraId="7C77D4C9" w14:textId="373E3B5E" w:rsidR="00E66531" w:rsidRPr="00F5497F" w:rsidRDefault="00E66531" w:rsidP="00E66531">
      <w:pPr>
        <w:jc w:val="both"/>
      </w:pPr>
      <w:r w:rsidRPr="00F5497F">
        <w:t>The Malta Medicines Authority publishes safety circulars to keep stakeholders of emerging safety issues with marketed medicinal products.</w:t>
      </w:r>
      <w:r w:rsidR="002C4A42" w:rsidRPr="00F5497F">
        <w:t xml:space="preserve"> Most updates relate to EMA reviews and procedures. </w:t>
      </w:r>
    </w:p>
    <w:p w14:paraId="1C2B2805" w14:textId="77777777" w:rsidR="00E66531" w:rsidRPr="00F5497F" w:rsidRDefault="00E66531" w:rsidP="00E66531">
      <w:pPr>
        <w:jc w:val="both"/>
      </w:pPr>
    </w:p>
    <w:p w14:paraId="3EAB0B2D" w14:textId="69785758" w:rsidR="00E66531" w:rsidRPr="00F5497F" w:rsidRDefault="00E66531" w:rsidP="00E66531">
      <w:pPr>
        <w:jc w:val="both"/>
      </w:pPr>
      <w:r w:rsidRPr="00F5497F">
        <w:t xml:space="preserve">Archived safety circulars are available on the Malta Medicines Authority website </w:t>
      </w:r>
      <w:hyperlink r:id="rId27" w:history="1">
        <w:r w:rsidRPr="00F5497F">
          <w:rPr>
            <w:rStyle w:val="Hyperlink"/>
          </w:rPr>
          <w:t>here</w:t>
        </w:r>
      </w:hyperlink>
      <w:r w:rsidRPr="00F5497F">
        <w:t>.</w:t>
      </w:r>
    </w:p>
    <w:p w14:paraId="42D8A280" w14:textId="77777777" w:rsidR="00E66531" w:rsidRPr="00F5497F" w:rsidRDefault="00E66531" w:rsidP="00E66531">
      <w:pPr>
        <w:jc w:val="both"/>
      </w:pPr>
    </w:p>
    <w:p w14:paraId="0BDEEA96" w14:textId="77777777" w:rsidR="00E66531" w:rsidRPr="00F5497F" w:rsidRDefault="00E66531" w:rsidP="00E66531">
      <w:pPr>
        <w:jc w:val="both"/>
      </w:pPr>
      <w:r w:rsidRPr="00F5497F">
        <w:t xml:space="preserve">The Malta Medicines Authority also facilitates safety communication to stakeholders by collaborating with MAHs when they need to issue safety instructions on the use of a medicinal product via direct healthcare professional communications (DHPCs).  If multiple MAHs need to send out a DHPC with the same product, the Malta Medicines issues a joint DHPC.  This MMA initiative avoids information overload and alert fatigue since MAHs are grouped and one letter may be issued on their behalf. </w:t>
      </w:r>
    </w:p>
    <w:p w14:paraId="01DA270E" w14:textId="77777777" w:rsidR="00E66531" w:rsidRPr="00F5497F" w:rsidRDefault="00E66531" w:rsidP="00E66531">
      <w:pPr>
        <w:jc w:val="both"/>
      </w:pPr>
    </w:p>
    <w:p w14:paraId="2918FE28" w14:textId="48BBAEC6" w:rsidR="00E66531" w:rsidRPr="00F5497F" w:rsidRDefault="00E66531" w:rsidP="00E66531">
      <w:pPr>
        <w:jc w:val="both"/>
      </w:pPr>
      <w:r w:rsidRPr="00F5497F">
        <w:t xml:space="preserve">Archived DHPCs are also available on the Malta Medicines Authority website </w:t>
      </w:r>
      <w:hyperlink r:id="rId28" w:history="1">
        <w:r w:rsidRPr="00F5497F">
          <w:rPr>
            <w:rStyle w:val="Hyperlink"/>
          </w:rPr>
          <w:t>here</w:t>
        </w:r>
      </w:hyperlink>
      <w:r w:rsidRPr="00F5497F">
        <w:t>.</w:t>
      </w:r>
    </w:p>
    <w:p w14:paraId="3EDB159B" w14:textId="77777777" w:rsidR="00E66531" w:rsidRPr="00F5497F" w:rsidRDefault="00E66531" w:rsidP="00E66531">
      <w:pPr>
        <w:jc w:val="both"/>
      </w:pPr>
    </w:p>
    <w:p w14:paraId="75D8BA51" w14:textId="77777777" w:rsidR="00E66531" w:rsidRPr="00F5497F" w:rsidRDefault="00E66531" w:rsidP="00E66531">
      <w:pPr>
        <w:jc w:val="both"/>
      </w:pPr>
      <w:r w:rsidRPr="00F5497F">
        <w:t xml:space="preserve">Safety circulars and direct healthcare professional communications (DHPCs) are ways of communicating regulatory actions with medicinal products to HCPs.  Such regulatory actions may be the result of safety signals which arise from the collective reporting of adverse drug reactions.  </w:t>
      </w:r>
    </w:p>
    <w:p w14:paraId="16709B8E" w14:textId="77777777" w:rsidR="00E66531" w:rsidRPr="00F5497F" w:rsidRDefault="00E66531" w:rsidP="00E66531">
      <w:pPr>
        <w:jc w:val="both"/>
      </w:pPr>
    </w:p>
    <w:p w14:paraId="790C603D" w14:textId="45DBC9DC" w:rsidR="00E66531" w:rsidRPr="00F5497F" w:rsidRDefault="00E66531" w:rsidP="00E66531">
      <w:pPr>
        <w:jc w:val="both"/>
      </w:pPr>
      <w:r w:rsidRPr="00F5497F">
        <w:t xml:space="preserve">Regulatory actions include changes to the </w:t>
      </w:r>
      <w:r w:rsidR="002C4A42" w:rsidRPr="00F5497F">
        <w:t xml:space="preserve">additional </w:t>
      </w:r>
      <w:r w:rsidRPr="00F5497F">
        <w:t>risk minimisation measures (</w:t>
      </w:r>
      <w:proofErr w:type="spellStart"/>
      <w:r w:rsidR="002C4A42" w:rsidRPr="00F5497F">
        <w:t>a</w:t>
      </w:r>
      <w:r w:rsidRPr="00F5497F">
        <w:t>RMMs</w:t>
      </w:r>
      <w:proofErr w:type="spellEnd"/>
      <w:r w:rsidRPr="00F5497F">
        <w:t xml:space="preserve">) (see Section 3 for definition) for a given drug product.  PRAC communicates these </w:t>
      </w:r>
      <w:proofErr w:type="spellStart"/>
      <w:r w:rsidR="002C4A42" w:rsidRPr="00F5497F">
        <w:t>a</w:t>
      </w:r>
      <w:r w:rsidRPr="00F5497F">
        <w:t>RMMs</w:t>
      </w:r>
      <w:proofErr w:type="spellEnd"/>
      <w:r w:rsidRPr="00F5497F">
        <w:t xml:space="preserve"> to MAHs which are then bound to implement them accordingly.</w:t>
      </w:r>
      <w:r w:rsidR="002C4A42" w:rsidRPr="00F5497F">
        <w:t xml:space="preserve"> The MMA has a supervisor role to ensure that </w:t>
      </w:r>
      <w:proofErr w:type="spellStart"/>
      <w:r w:rsidR="002C4A42" w:rsidRPr="00F5497F">
        <w:t>aRMMs</w:t>
      </w:r>
      <w:proofErr w:type="spellEnd"/>
      <w:r w:rsidR="002C4A42" w:rsidRPr="00F5497F">
        <w:t xml:space="preserve"> are disseminated to the target population.</w:t>
      </w:r>
      <w:r w:rsidRPr="00F5497F">
        <w:t xml:space="preserve">  Changes include highlighting risks associated with a medicinal product and which require further information to characterise them or the issuing of educational materials for patients or HCPs </w:t>
      </w:r>
      <w:proofErr w:type="gramStart"/>
      <w:r w:rsidRPr="00F5497F">
        <w:t>in order to</w:t>
      </w:r>
      <w:proofErr w:type="gramEnd"/>
      <w:r w:rsidRPr="00F5497F">
        <w:t xml:space="preserve"> counter the occurrence of ADRs. </w:t>
      </w:r>
    </w:p>
    <w:p w14:paraId="6AD4F334" w14:textId="77777777" w:rsidR="00E66531" w:rsidRPr="00F5497F" w:rsidRDefault="00E66531" w:rsidP="00E66531">
      <w:pPr>
        <w:jc w:val="both"/>
      </w:pPr>
    </w:p>
    <w:p w14:paraId="0682F33A" w14:textId="1BDBD69D" w:rsidR="00E66531" w:rsidRPr="00F5497F" w:rsidRDefault="00E66531" w:rsidP="00E66531">
      <w:pPr>
        <w:jc w:val="both"/>
      </w:pPr>
      <w:r w:rsidRPr="00F5497F">
        <w:t xml:space="preserve">Archived RMMs are also available on the Malta Medicines Authority website </w:t>
      </w:r>
      <w:hyperlink r:id="rId29" w:history="1">
        <w:r w:rsidRPr="00F5497F">
          <w:rPr>
            <w:rStyle w:val="Hyperlink"/>
          </w:rPr>
          <w:t>here</w:t>
        </w:r>
      </w:hyperlink>
      <w:r w:rsidRPr="00F5497F">
        <w:t>.</w:t>
      </w:r>
    </w:p>
    <w:p w14:paraId="68B9A9BF" w14:textId="77777777" w:rsidR="00E66531" w:rsidRPr="00F5497F" w:rsidRDefault="00E66531" w:rsidP="00E66531">
      <w:pPr>
        <w:jc w:val="both"/>
      </w:pPr>
    </w:p>
    <w:p w14:paraId="35B1EEA3" w14:textId="77777777" w:rsidR="00E66531" w:rsidRPr="00F5497F" w:rsidRDefault="00E66531" w:rsidP="00F5497F">
      <w:pPr>
        <w:jc w:val="both"/>
      </w:pPr>
      <w:r w:rsidRPr="00F5497F">
        <w:t xml:space="preserve">The reporting of adverse events has a positive impact on patient safety and the overall public health system.  The timely identification of signals from ADR reports contribute to making medicines safer and preventing future harm to patients as well as allowing patient and HCPs to make better informed choices on the use of medicines </w:t>
      </w:r>
    </w:p>
    <w:p w14:paraId="061CAC6C" w14:textId="77777777" w:rsidR="00E66531" w:rsidRPr="00F5497F" w:rsidRDefault="00E66531" w:rsidP="00F5497F">
      <w:pPr>
        <w:jc w:val="both"/>
      </w:pPr>
    </w:p>
    <w:p w14:paraId="150F7079" w14:textId="70AAFABB" w:rsidR="00E66531" w:rsidRPr="00F5497F" w:rsidRDefault="00E66531" w:rsidP="00F5497F">
      <w:pPr>
        <w:jc w:val="both"/>
      </w:pPr>
      <w:r w:rsidRPr="00F5497F">
        <w:lastRenderedPageBreak/>
        <w:t>The role of HCPs in</w:t>
      </w:r>
      <w:r w:rsidR="002C4A42" w:rsidRPr="00F5497F">
        <w:t xml:space="preserve"> this complex system should not be underestimated -</w:t>
      </w:r>
      <w:r w:rsidRPr="00F5497F">
        <w:t xml:space="preserve"> the reporting of ADRs is crucial to ensuring the proper function of this system.  </w:t>
      </w:r>
    </w:p>
    <w:p w14:paraId="3C701DEA" w14:textId="77777777" w:rsidR="00DD050D" w:rsidRPr="00F5497F" w:rsidRDefault="00DD050D" w:rsidP="00F5497F">
      <w:pPr>
        <w:jc w:val="both"/>
        <w:rPr>
          <w:b/>
        </w:rPr>
      </w:pPr>
    </w:p>
    <w:p w14:paraId="34386037" w14:textId="41612501" w:rsidR="009725FC" w:rsidRPr="00F5497F" w:rsidRDefault="004A4D73" w:rsidP="00F5497F">
      <w:pPr>
        <w:pStyle w:val="Heading1"/>
        <w:numPr>
          <w:ilvl w:val="0"/>
          <w:numId w:val="102"/>
        </w:numPr>
        <w:spacing w:after="180"/>
        <w:ind w:left="425" w:hanging="425"/>
        <w:jc w:val="both"/>
        <w:rPr>
          <w:rFonts w:ascii="Times New Roman" w:hAnsi="Times New Roman" w:cs="Times New Roman"/>
        </w:rPr>
      </w:pPr>
      <w:bookmarkStart w:id="54" w:name="_Toc45802799"/>
      <w:r w:rsidRPr="00F5497F">
        <w:rPr>
          <w:rFonts w:ascii="Times New Roman" w:hAnsi="Times New Roman" w:cs="Times New Roman"/>
        </w:rPr>
        <w:t xml:space="preserve"> </w:t>
      </w:r>
      <w:bookmarkStart w:id="55" w:name="_Toc236130017"/>
      <w:r w:rsidR="009725FC" w:rsidRPr="00F5497F">
        <w:rPr>
          <w:rFonts w:ascii="Times New Roman" w:hAnsi="Times New Roman" w:cs="Times New Roman"/>
          <w:sz w:val="28"/>
        </w:rPr>
        <w:t>Further</w:t>
      </w:r>
      <w:r w:rsidR="009725FC" w:rsidRPr="00F5497F">
        <w:rPr>
          <w:rFonts w:ascii="Times New Roman" w:hAnsi="Times New Roman" w:cs="Times New Roman"/>
        </w:rPr>
        <w:t xml:space="preserve"> </w:t>
      </w:r>
      <w:r w:rsidR="009725FC" w:rsidRPr="00F5497F">
        <w:rPr>
          <w:rFonts w:ascii="Times New Roman" w:hAnsi="Times New Roman" w:cs="Times New Roman"/>
          <w:sz w:val="28"/>
        </w:rPr>
        <w:t>guidance</w:t>
      </w:r>
      <w:bookmarkEnd w:id="54"/>
      <w:bookmarkEnd w:id="55"/>
    </w:p>
    <w:p w14:paraId="71CFFF62" w14:textId="03EEF0FC" w:rsidR="009725FC" w:rsidRPr="00F5497F" w:rsidRDefault="000D22E8" w:rsidP="00F5497F">
      <w:pPr>
        <w:pStyle w:val="CommentText"/>
        <w:jc w:val="both"/>
      </w:pPr>
      <w:r w:rsidRPr="00F5497F">
        <w:t>Should you require any further guidance or detail on any of the above do not hesitate to contact the Malta Medicines Authority</w:t>
      </w:r>
      <w:r w:rsidR="009725FC" w:rsidRPr="00F5497F">
        <w:rPr>
          <w:sz w:val="24"/>
          <w:szCs w:val="24"/>
        </w:rPr>
        <w:t>:</w:t>
      </w:r>
    </w:p>
    <w:p w14:paraId="538557E6" w14:textId="06929178" w:rsidR="00162256" w:rsidRPr="00F5497F" w:rsidRDefault="009725FC" w:rsidP="009E1C4C">
      <w:pPr>
        <w:pStyle w:val="CommentText"/>
        <w:spacing w:before="120"/>
        <w:jc w:val="both"/>
        <w:rPr>
          <w:sz w:val="24"/>
          <w:szCs w:val="24"/>
        </w:rPr>
      </w:pPr>
      <w:bookmarkStart w:id="56" w:name="_Toc45802800"/>
      <w:r w:rsidRPr="00F5497F">
        <w:rPr>
          <w:rFonts w:ascii="Segoe UI Emoji" w:hAnsi="Segoe UI Emoji" w:cs="Segoe UI Emoji"/>
          <w:sz w:val="24"/>
          <w:szCs w:val="24"/>
        </w:rPr>
        <w:t>📞</w:t>
      </w:r>
      <w:r w:rsidRPr="00F5497F">
        <w:rPr>
          <w:sz w:val="24"/>
          <w:szCs w:val="24"/>
        </w:rPr>
        <w:t xml:space="preserve"> </w:t>
      </w:r>
      <w:r w:rsidRPr="00F5497F">
        <w:rPr>
          <w:b/>
          <w:bCs/>
          <w:sz w:val="24"/>
          <w:szCs w:val="24"/>
        </w:rPr>
        <w:t>+356 2343 9000</w:t>
      </w:r>
    </w:p>
    <w:p w14:paraId="3D89F1CA" w14:textId="77777777" w:rsidR="00560B0F" w:rsidRPr="00F5497F" w:rsidRDefault="009725FC" w:rsidP="002A1DA4">
      <w:pPr>
        <w:pStyle w:val="CommentText"/>
        <w:spacing w:before="120"/>
        <w:jc w:val="both"/>
        <w:rPr>
          <w:sz w:val="24"/>
          <w:szCs w:val="24"/>
        </w:rPr>
      </w:pPr>
      <w:r w:rsidRPr="00F5497F">
        <w:rPr>
          <w:rFonts w:ascii="Segoe UI Emoji" w:hAnsi="Segoe UI Emoji" w:cs="Segoe UI Emoji"/>
          <w:sz w:val="24"/>
          <w:szCs w:val="24"/>
        </w:rPr>
        <w:t>📧</w:t>
      </w:r>
      <w:r w:rsidRPr="00F5497F">
        <w:rPr>
          <w:sz w:val="24"/>
          <w:szCs w:val="24"/>
        </w:rPr>
        <w:t xml:space="preserve"> </w:t>
      </w:r>
      <w:hyperlink r:id="rId30" w:history="1">
        <w:r w:rsidR="00162256" w:rsidRPr="00F5497F">
          <w:rPr>
            <w:rStyle w:val="Hyperlink"/>
            <w:b/>
            <w:bCs/>
            <w:sz w:val="24"/>
            <w:szCs w:val="24"/>
          </w:rPr>
          <w:t>postlicensing.medicinesauthority@gov.mt</w:t>
        </w:r>
      </w:hyperlink>
      <w:r w:rsidR="00162256" w:rsidRPr="00F5497F">
        <w:rPr>
          <w:b/>
          <w:bCs/>
          <w:sz w:val="24"/>
          <w:szCs w:val="24"/>
        </w:rPr>
        <w:t xml:space="preserve"> </w:t>
      </w:r>
    </w:p>
    <w:p w14:paraId="700DA70D" w14:textId="77777777" w:rsidR="0061536B" w:rsidRPr="00F5497F" w:rsidRDefault="0061536B" w:rsidP="00F81573">
      <w:pPr>
        <w:ind w:firstLine="720"/>
        <w:jc w:val="both"/>
      </w:pPr>
    </w:p>
    <w:p w14:paraId="56CE814D" w14:textId="77777777" w:rsidR="00F81573" w:rsidRPr="00F5497F" w:rsidRDefault="00F81573" w:rsidP="00F81573">
      <w:pPr>
        <w:ind w:firstLine="720"/>
        <w:jc w:val="both"/>
      </w:pPr>
    </w:p>
    <w:p w14:paraId="4B43503F" w14:textId="77777777" w:rsidR="005E482C" w:rsidRPr="00F5497F" w:rsidRDefault="00DD050D" w:rsidP="00F5497F">
      <w:pPr>
        <w:pStyle w:val="Heading1"/>
        <w:numPr>
          <w:ilvl w:val="0"/>
          <w:numId w:val="102"/>
        </w:numPr>
        <w:spacing w:after="180"/>
        <w:ind w:left="425" w:hanging="425"/>
        <w:jc w:val="both"/>
        <w:rPr>
          <w:rFonts w:ascii="Times New Roman" w:hAnsi="Times New Roman" w:cs="Times New Roman"/>
        </w:rPr>
      </w:pPr>
      <w:r w:rsidRPr="00F5497F">
        <w:rPr>
          <w:rFonts w:ascii="Times New Roman" w:hAnsi="Times New Roman" w:cs="Times New Roman"/>
        </w:rPr>
        <w:t xml:space="preserve"> </w:t>
      </w:r>
      <w:bookmarkStart w:id="57" w:name="_Toc236130018"/>
      <w:r w:rsidR="0061536B" w:rsidRPr="00F5497F">
        <w:rPr>
          <w:rFonts w:ascii="Times New Roman" w:hAnsi="Times New Roman" w:cs="Times New Roman"/>
          <w:sz w:val="28"/>
        </w:rPr>
        <w:t>References</w:t>
      </w:r>
      <w:bookmarkEnd w:id="56"/>
      <w:bookmarkEnd w:id="57"/>
    </w:p>
    <w:p w14:paraId="706A6297" w14:textId="77777777" w:rsidR="009E1C4C" w:rsidRPr="004778D9" w:rsidRDefault="003F13EE" w:rsidP="00F5497F">
      <w:pPr>
        <w:spacing w:before="240" w:after="120"/>
        <w:jc w:val="both"/>
      </w:pPr>
      <w:r w:rsidRPr="00F5497F">
        <w:t xml:space="preserve">Ayalew Mohammed B, Tegegn Henok G, Abdela Ousman A, Drug Related Hospital Admissions; A Systematic Review of the Recent Literatures. </w:t>
      </w:r>
      <w:hyperlink r:id="rId31" w:history="1">
        <w:r w:rsidRPr="00F5497F">
          <w:t>Bull Emerg Trauma</w:t>
        </w:r>
      </w:hyperlink>
      <w:r w:rsidRPr="00F5497F">
        <w:t>. 2019 Oct; 7(4): 339–346</w:t>
      </w:r>
      <w:r w:rsidR="009E1C4C" w:rsidRPr="00F5497F">
        <w:t>.</w:t>
      </w:r>
    </w:p>
    <w:p w14:paraId="3C5535AA" w14:textId="77777777" w:rsidR="009E1C4C" w:rsidRPr="00F5497F" w:rsidRDefault="009E1C4C" w:rsidP="009E1C4C">
      <w:pPr>
        <w:spacing w:before="240" w:after="120"/>
        <w:jc w:val="both"/>
      </w:pPr>
      <w:r w:rsidRPr="00F5497F">
        <w:t xml:space="preserve">Curtolo E, Micallef B, Szijj JV, Serracino-Inglott A, Borg JJ. An exploratory study of knowledge, attitudes, practice and barriers towards adverse drug reaction reporting among healthcare professionals in Malta. Int J Risk Saf Med. 2024;35(3):271-286. </w:t>
      </w:r>
      <w:proofErr w:type="spellStart"/>
      <w:r w:rsidRPr="00F5497F">
        <w:t>doi</w:t>
      </w:r>
      <w:proofErr w:type="spellEnd"/>
      <w:r w:rsidRPr="00F5497F">
        <w:t>: 10.3233/JRS-230055. PMID: 38820023.</w:t>
      </w:r>
    </w:p>
    <w:p w14:paraId="2BF88982" w14:textId="77777777" w:rsidR="003F13EE" w:rsidRPr="00F5497F" w:rsidRDefault="003F13EE" w:rsidP="00F5497F">
      <w:pPr>
        <w:spacing w:before="240" w:after="120"/>
        <w:jc w:val="both"/>
      </w:pPr>
      <w:r w:rsidRPr="004778D9">
        <w:t xml:space="preserve">Kumar </w:t>
      </w:r>
      <w:r w:rsidR="0083256A" w:rsidRPr="004778D9">
        <w:t>Hemanth N</w:t>
      </w:r>
      <w:r w:rsidRPr="004778D9">
        <w:t xml:space="preserve">, Prasanth Y, Narendra B, et al. </w:t>
      </w:r>
      <w:r w:rsidRPr="00F5497F">
        <w:t>A review on Adverse Drug reactions monitoring and reporting</w:t>
      </w:r>
      <w:r w:rsidR="00962F7A" w:rsidRPr="00F5497F">
        <w:t>. International Journal of Pharmacy Research &amp; Technology, July –December, Vol</w:t>
      </w:r>
      <w:r w:rsidR="0083256A" w:rsidRPr="00F5497F">
        <w:t xml:space="preserve"> </w:t>
      </w:r>
      <w:r w:rsidR="00962F7A" w:rsidRPr="00F5497F">
        <w:t>9, Issue 2</w:t>
      </w:r>
      <w:r w:rsidR="0083256A" w:rsidRPr="00F5497F">
        <w:t>.</w:t>
      </w:r>
    </w:p>
    <w:p w14:paraId="78C01664" w14:textId="77777777" w:rsidR="003F13EE" w:rsidRPr="00F5497F" w:rsidRDefault="001025F0" w:rsidP="00F5497F">
      <w:pPr>
        <w:spacing w:before="240" w:after="120"/>
        <w:jc w:val="both"/>
      </w:pPr>
      <w:r w:rsidRPr="00F5497F">
        <w:t xml:space="preserve">Rolfes L, van Hunsel F, Taxis K, van </w:t>
      </w:r>
      <w:proofErr w:type="spellStart"/>
      <w:r w:rsidRPr="00F5497F">
        <w:t>Puijenbroek</w:t>
      </w:r>
      <w:proofErr w:type="spellEnd"/>
      <w:r w:rsidRPr="00F5497F">
        <w:t xml:space="preserve"> E. The Impact of Experiencing Adverse Drug Reactions on the Patient's Quality of Life: A Retrospective Cross-Sectional Study in the Netherlands. Drug Saf. 2016;39(8):769-776. doi:10.1007/s40264-016-0422-0</w:t>
      </w:r>
    </w:p>
    <w:p w14:paraId="7C27F62E" w14:textId="77777777" w:rsidR="009F0FDA" w:rsidRPr="00F5497F" w:rsidRDefault="00873BC1" w:rsidP="00F5497F">
      <w:pPr>
        <w:spacing w:before="240" w:after="120"/>
        <w:jc w:val="both"/>
      </w:pPr>
      <w:r w:rsidRPr="00F5497F">
        <w:t xml:space="preserve">Sultana J, </w:t>
      </w:r>
      <w:proofErr w:type="spellStart"/>
      <w:r w:rsidRPr="00F5497F">
        <w:t>Cutroneo</w:t>
      </w:r>
      <w:proofErr w:type="spellEnd"/>
      <w:r w:rsidRPr="00F5497F">
        <w:t xml:space="preserve"> P, TrifirÃ² G. Clinical and economic burden of adverse drug reactions. J </w:t>
      </w:r>
      <w:proofErr w:type="spellStart"/>
      <w:r w:rsidRPr="00F5497F">
        <w:t>Pharmacol</w:t>
      </w:r>
      <w:proofErr w:type="spellEnd"/>
      <w:r w:rsidRPr="00F5497F">
        <w:t xml:space="preserve"> </w:t>
      </w:r>
      <w:proofErr w:type="spellStart"/>
      <w:r w:rsidRPr="00F5497F">
        <w:t>Pharmacother</w:t>
      </w:r>
      <w:proofErr w:type="spellEnd"/>
      <w:r w:rsidRPr="00F5497F">
        <w:t xml:space="preserve"> 2013 Dec;4(Supp l1</w:t>
      </w:r>
      <w:proofErr w:type="gramStart"/>
      <w:r w:rsidRPr="00F5497F">
        <w:t>):S</w:t>
      </w:r>
      <w:proofErr w:type="gramEnd"/>
      <w:r w:rsidRPr="00F5497F">
        <w:t>73-7.</w:t>
      </w:r>
    </w:p>
    <w:p w14:paraId="241C4CA8" w14:textId="77777777" w:rsidR="009036D2" w:rsidRPr="00F5497F" w:rsidRDefault="009036D2" w:rsidP="00F5497F">
      <w:pPr>
        <w:jc w:val="both"/>
      </w:pPr>
    </w:p>
    <w:p w14:paraId="114C13C8" w14:textId="77777777" w:rsidR="000D33F0" w:rsidRPr="00F5497F" w:rsidRDefault="000D33F0" w:rsidP="00F5497F">
      <w:pPr>
        <w:jc w:val="both"/>
        <w:rPr>
          <w:lang w:val="en-US"/>
        </w:rPr>
      </w:pPr>
    </w:p>
    <w:sectPr w:rsidR="000D33F0" w:rsidRPr="00F5497F" w:rsidSect="001345C3">
      <w:headerReference w:type="default" r:id="rId32"/>
      <w:footerReference w:type="even" r:id="rId33"/>
      <w:footerReference w:type="default" r:id="rId34"/>
      <w:footerReference w:type="first" r:id="rId35"/>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E1B0C" w14:textId="77777777" w:rsidR="00EA11A6" w:rsidRDefault="00EA11A6">
      <w:r>
        <w:separator/>
      </w:r>
    </w:p>
  </w:endnote>
  <w:endnote w:type="continuationSeparator" w:id="0">
    <w:p w14:paraId="60BB3FD9" w14:textId="77777777" w:rsidR="00EA11A6" w:rsidRDefault="00EA1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B5A0B" w14:textId="77777777" w:rsidR="009E3B12" w:rsidRDefault="009E3B12" w:rsidP="00FE54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7A2AA4" w14:textId="77777777" w:rsidR="009E3B12" w:rsidRDefault="009E3B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2F665" w14:textId="77777777" w:rsidR="009E3B12" w:rsidRPr="00A40DA3" w:rsidRDefault="009E3B12" w:rsidP="00FD0DD9">
    <w:pPr>
      <w:pStyle w:val="Footer"/>
      <w:pBdr>
        <w:top w:val="single" w:sz="4" w:space="1" w:color="D9D9D9"/>
      </w:pBdr>
      <w:rPr>
        <w:szCs w:val="24"/>
      </w:rPr>
    </w:pPr>
    <w:r>
      <w:rPr>
        <w:b/>
        <w:bCs/>
        <w:sz w:val="18"/>
        <w:szCs w:val="18"/>
      </w:rPr>
      <w:tab/>
    </w:r>
    <w:r w:rsidRPr="00A40DA3">
      <w:rPr>
        <w:b/>
        <w:bCs/>
        <w:szCs w:val="24"/>
      </w:rPr>
      <w:t xml:space="preserve">Security </w:t>
    </w:r>
    <w:r w:rsidR="00D67D70" w:rsidRPr="00A40DA3">
      <w:rPr>
        <w:b/>
        <w:bCs/>
        <w:szCs w:val="24"/>
      </w:rPr>
      <w:t>M</w:t>
    </w:r>
    <w:r w:rsidRPr="00A40DA3">
      <w:rPr>
        <w:b/>
        <w:bCs/>
        <w:szCs w:val="24"/>
      </w:rPr>
      <w:t>arking: Public</w:t>
    </w:r>
  </w:p>
  <w:p w14:paraId="6B435150" w14:textId="77777777" w:rsidR="009E3B12" w:rsidRDefault="009E3B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0292D" w14:textId="77777777" w:rsidR="009E3B12" w:rsidRDefault="009E3B12" w:rsidP="002D3A8A">
    <w:pPr>
      <w:pStyle w:val="Footer"/>
      <w:pBdr>
        <w:top w:val="single" w:sz="4" w:space="1" w:color="D9D9D9"/>
      </w:pBdr>
      <w:jc w:val="center"/>
    </w:pPr>
    <w:r>
      <w:rPr>
        <w:b/>
        <w:bCs/>
        <w:sz w:val="18"/>
        <w:szCs w:val="18"/>
      </w:rPr>
      <w:t xml:space="preserve">Security </w:t>
    </w:r>
    <w:r w:rsidR="00D67D70">
      <w:rPr>
        <w:b/>
        <w:bCs/>
        <w:sz w:val="18"/>
        <w:szCs w:val="18"/>
      </w:rPr>
      <w:t>M</w:t>
    </w:r>
    <w:r>
      <w:rPr>
        <w:b/>
        <w:bCs/>
        <w:sz w:val="18"/>
        <w:szCs w:val="18"/>
      </w:rPr>
      <w:t>arking: Public</w:t>
    </w:r>
  </w:p>
  <w:p w14:paraId="75A8972F" w14:textId="77777777" w:rsidR="009E3B12" w:rsidRDefault="009E3B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9BEBE" w14:textId="77777777" w:rsidR="00EA11A6" w:rsidRDefault="00EA11A6">
      <w:r>
        <w:separator/>
      </w:r>
    </w:p>
  </w:footnote>
  <w:footnote w:type="continuationSeparator" w:id="0">
    <w:p w14:paraId="5353EB0F" w14:textId="77777777" w:rsidR="00EA11A6" w:rsidRDefault="00EA11A6">
      <w:r>
        <w:continuationSeparator/>
      </w:r>
    </w:p>
  </w:footnote>
  <w:footnote w:id="1">
    <w:p w14:paraId="07D5978E" w14:textId="77777777" w:rsidR="00975CF8" w:rsidRPr="00FA256A" w:rsidRDefault="00975CF8" w:rsidP="00975CF8">
      <w:pPr>
        <w:pStyle w:val="FootnoteText"/>
        <w:rPr>
          <w:lang w:val="en-US"/>
        </w:rPr>
      </w:pPr>
      <w:r>
        <w:rPr>
          <w:rStyle w:val="FootnoteReference"/>
        </w:rPr>
        <w:footnoteRef/>
      </w:r>
      <w:r>
        <w:rPr>
          <w:szCs w:val="22"/>
        </w:rPr>
        <w:t xml:space="preserve"> National Coordinating Counci</w:t>
      </w:r>
      <w:r w:rsidRPr="004F352F">
        <w:rPr>
          <w:szCs w:val="22"/>
        </w:rPr>
        <w:t>l for Medication Error Reporting and Prevention. About Medication Errors</w:t>
      </w:r>
      <w:r>
        <w:rPr>
          <w:szCs w:val="22"/>
        </w:rPr>
        <w:t xml:space="preserve">. </w:t>
      </w:r>
      <w:r w:rsidRPr="00272FE7">
        <w:rPr>
          <w:szCs w:val="22"/>
        </w:rPr>
        <w:t>Accessed 14/05/2020</w:t>
      </w:r>
      <w:r>
        <w:rPr>
          <w:szCs w:val="22"/>
        </w:rPr>
        <w:t xml:space="preserve">. Available at: </w:t>
      </w:r>
      <w:r w:rsidRPr="008263D1">
        <w:rPr>
          <w:szCs w:val="22"/>
        </w:rPr>
        <w:t xml:space="preserve">http://www.nccmerp.org/about-medication-errors. </w:t>
      </w:r>
    </w:p>
  </w:footnote>
  <w:footnote w:id="2">
    <w:p w14:paraId="001789AA" w14:textId="77777777" w:rsidR="00191F1A" w:rsidRPr="002E3439" w:rsidRDefault="00191F1A" w:rsidP="00191F1A">
      <w:pPr>
        <w:pStyle w:val="FootnoteText"/>
        <w:rPr>
          <w:lang w:val="en-US"/>
        </w:rPr>
      </w:pPr>
      <w:r>
        <w:rPr>
          <w:rStyle w:val="FootnoteReference"/>
        </w:rPr>
        <w:footnoteRef/>
      </w:r>
      <w:r>
        <w:t xml:space="preserve"> </w:t>
      </w:r>
      <w:r w:rsidRPr="00BB44AF">
        <w:t>Malta Government. Subsidiary Legislation 458.35 Pharmacovigilance (Amendment) Regulations. Laws of Malta. Legal Notice 352 of 2013; Government Gazette of Malta (No. 19,157): B 4266-B 4268.</w:t>
      </w:r>
    </w:p>
    <w:p w14:paraId="2208E87F" w14:textId="77777777" w:rsidR="00191F1A" w:rsidRPr="009F6457" w:rsidRDefault="00191F1A" w:rsidP="00191F1A">
      <w:pPr>
        <w:pStyle w:val="FootnoteText"/>
        <w:rPr>
          <w:lang w:val="en-US"/>
        </w:rPr>
      </w:pPr>
    </w:p>
  </w:footnote>
  <w:footnote w:id="3">
    <w:p w14:paraId="4ACC0A48" w14:textId="77777777" w:rsidR="00FF37E5" w:rsidRDefault="00FF37E5">
      <w:pPr>
        <w:pStyle w:val="FootnoteText"/>
      </w:pPr>
      <w:r>
        <w:rPr>
          <w:rStyle w:val="FootnoteReference"/>
        </w:rPr>
        <w:footnoteRef/>
      </w:r>
      <w:r>
        <w:t xml:space="preserve"> </w:t>
      </w:r>
      <w:r w:rsidRPr="00FF37E5">
        <w:t>Curtolo E, Micallef B, Szijj JV, Serracino-Inglott A, Borg JJ. An exploratory study of knowledge, attitudes, practice and barriers towards adverse drug reaction reporting among healthcare professionals in Malta. Int J Risk Saf Med. 2024;35(3):271-286. doi: 10.3233/JRS-230055. PMID: 38820023.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02" w:type="dxa"/>
      <w:tblInd w:w="-717" w:type="dxa"/>
      <w:tblLayout w:type="fixed"/>
      <w:tblLook w:val="04A0" w:firstRow="1" w:lastRow="0" w:firstColumn="1" w:lastColumn="0" w:noHBand="0" w:noVBand="1"/>
    </w:tblPr>
    <w:tblGrid>
      <w:gridCol w:w="3801"/>
      <w:gridCol w:w="2815"/>
      <w:gridCol w:w="3386"/>
    </w:tblGrid>
    <w:tr w:rsidR="009E3B12" w14:paraId="387394F7" w14:textId="77777777" w:rsidTr="001C2C19">
      <w:trPr>
        <w:cantSplit/>
        <w:trHeight w:val="361"/>
      </w:trPr>
      <w:tc>
        <w:tcPr>
          <w:tcW w:w="3801" w:type="dxa"/>
          <w:tcBorders>
            <w:top w:val="single" w:sz="6" w:space="0" w:color="auto"/>
            <w:left w:val="single" w:sz="6" w:space="0" w:color="auto"/>
            <w:bottom w:val="single" w:sz="6" w:space="0" w:color="auto"/>
            <w:right w:val="single" w:sz="6" w:space="0" w:color="auto"/>
          </w:tcBorders>
          <w:vAlign w:val="center"/>
        </w:tcPr>
        <w:p w14:paraId="73F4ACAF" w14:textId="48887D76" w:rsidR="009E3B12" w:rsidRPr="00CA3F40" w:rsidRDefault="009E3B12" w:rsidP="00D22559">
          <w:pPr>
            <w:jc w:val="center"/>
            <w:rPr>
              <w:b/>
            </w:rPr>
          </w:pPr>
          <w:r w:rsidRPr="00CA3F40">
            <w:rPr>
              <w:b/>
            </w:rPr>
            <w:t xml:space="preserve">Guideline No.: </w:t>
          </w:r>
          <w:r w:rsidRPr="00434ECA">
            <w:rPr>
              <w:b/>
            </w:rPr>
            <w:t>GL-PL02.0</w:t>
          </w:r>
          <w:r w:rsidR="005E5EEE">
            <w:rPr>
              <w:b/>
            </w:rPr>
            <w:t>6</w:t>
          </w:r>
        </w:p>
      </w:tc>
      <w:tc>
        <w:tcPr>
          <w:tcW w:w="2815" w:type="dxa"/>
          <w:tcBorders>
            <w:top w:val="single" w:sz="6" w:space="0" w:color="auto"/>
            <w:left w:val="single" w:sz="6" w:space="0" w:color="auto"/>
            <w:bottom w:val="single" w:sz="6" w:space="0" w:color="auto"/>
            <w:right w:val="single" w:sz="6" w:space="0" w:color="auto"/>
          </w:tcBorders>
          <w:vAlign w:val="center"/>
          <w:hideMark/>
        </w:tcPr>
        <w:p w14:paraId="0C91AC1D" w14:textId="655BA4B8" w:rsidR="009E3B12" w:rsidRPr="00CA3F40" w:rsidRDefault="00F10117" w:rsidP="00D22559">
          <w:pPr>
            <w:jc w:val="center"/>
            <w:rPr>
              <w:b/>
            </w:rPr>
          </w:pPr>
          <w:r>
            <w:rPr>
              <w:b/>
            </w:rPr>
            <w:t>July</w:t>
          </w:r>
          <w:r w:rsidR="005E5EEE">
            <w:rPr>
              <w:b/>
            </w:rPr>
            <w:t xml:space="preserve"> 2026</w:t>
          </w:r>
        </w:p>
      </w:tc>
      <w:tc>
        <w:tcPr>
          <w:tcW w:w="3386" w:type="dxa"/>
          <w:tcBorders>
            <w:top w:val="single" w:sz="6" w:space="0" w:color="auto"/>
            <w:left w:val="single" w:sz="6" w:space="0" w:color="auto"/>
            <w:bottom w:val="single" w:sz="6" w:space="0" w:color="auto"/>
            <w:right w:val="single" w:sz="6" w:space="0" w:color="auto"/>
          </w:tcBorders>
          <w:vAlign w:val="center"/>
          <w:hideMark/>
        </w:tcPr>
        <w:p w14:paraId="4B8495CC" w14:textId="77777777" w:rsidR="009E3B12" w:rsidRPr="00CA3F40" w:rsidRDefault="009E3B12" w:rsidP="00D22559">
          <w:pPr>
            <w:jc w:val="center"/>
            <w:rPr>
              <w:b/>
            </w:rPr>
          </w:pPr>
          <w:r w:rsidRPr="00CA3F40">
            <w:rPr>
              <w:b/>
            </w:rPr>
            <w:t xml:space="preserve">Page </w:t>
          </w:r>
          <w:r w:rsidRPr="00CA3F40">
            <w:rPr>
              <w:rStyle w:val="PageNumber"/>
            </w:rPr>
            <w:fldChar w:fldCharType="begin"/>
          </w:r>
          <w:r w:rsidRPr="00CA3F40">
            <w:rPr>
              <w:rStyle w:val="PageNumber"/>
            </w:rPr>
            <w:instrText xml:space="preserve"> PAGE </w:instrText>
          </w:r>
          <w:r w:rsidRPr="00CA3F40">
            <w:rPr>
              <w:rStyle w:val="PageNumber"/>
            </w:rPr>
            <w:fldChar w:fldCharType="separate"/>
          </w:r>
          <w:r w:rsidRPr="00CA3F40">
            <w:rPr>
              <w:rStyle w:val="PageNumber"/>
              <w:noProof/>
            </w:rPr>
            <w:t>10</w:t>
          </w:r>
          <w:r w:rsidRPr="00CA3F40">
            <w:rPr>
              <w:rStyle w:val="PageNumber"/>
            </w:rPr>
            <w:fldChar w:fldCharType="end"/>
          </w:r>
          <w:r w:rsidRPr="00CA3F40">
            <w:rPr>
              <w:b/>
            </w:rPr>
            <w:t xml:space="preserve"> of </w:t>
          </w:r>
          <w:r>
            <w:rPr>
              <w:rStyle w:val="PageNumber"/>
            </w:rPr>
            <w:t>14</w:t>
          </w:r>
        </w:p>
      </w:tc>
    </w:tr>
  </w:tbl>
  <w:p w14:paraId="4526AA1C" w14:textId="77777777" w:rsidR="009E3B12" w:rsidRDefault="009E3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2AED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F0C1D"/>
    <w:multiLevelType w:val="hybridMultilevel"/>
    <w:tmpl w:val="6DBA11E0"/>
    <w:lvl w:ilvl="0" w:tplc="363E72B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DA50B3"/>
    <w:multiLevelType w:val="multilevel"/>
    <w:tmpl w:val="7908C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6A693F"/>
    <w:multiLevelType w:val="multilevel"/>
    <w:tmpl w:val="D7BA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D70550"/>
    <w:multiLevelType w:val="hybridMultilevel"/>
    <w:tmpl w:val="B1C8B6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F966D4"/>
    <w:multiLevelType w:val="multilevel"/>
    <w:tmpl w:val="34B6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731047"/>
    <w:multiLevelType w:val="multilevel"/>
    <w:tmpl w:val="5738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8E38CC"/>
    <w:multiLevelType w:val="multilevel"/>
    <w:tmpl w:val="69EC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D54BE4"/>
    <w:multiLevelType w:val="multilevel"/>
    <w:tmpl w:val="55E21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6B6ACD"/>
    <w:multiLevelType w:val="multilevel"/>
    <w:tmpl w:val="17543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9E7ACA"/>
    <w:multiLevelType w:val="multilevel"/>
    <w:tmpl w:val="EAEE7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0900BA"/>
    <w:multiLevelType w:val="hybridMultilevel"/>
    <w:tmpl w:val="26725434"/>
    <w:lvl w:ilvl="0" w:tplc="63009144">
      <w:start w:val="1"/>
      <w:numFmt w:val="bullet"/>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DE5797"/>
    <w:multiLevelType w:val="hybridMultilevel"/>
    <w:tmpl w:val="D78A6054"/>
    <w:lvl w:ilvl="0" w:tplc="EA7C575A">
      <w:start w:val="1"/>
      <w:numFmt w:val="lowerLetter"/>
      <w:lvlText w:val="%1)"/>
      <w:lvlJc w:val="left"/>
      <w:pPr>
        <w:tabs>
          <w:tab w:val="num" w:pos="720"/>
        </w:tabs>
        <w:ind w:left="720" w:hanging="360"/>
      </w:pPr>
      <w:rPr>
        <w:rFonts w:cs="Times New Roman" w:hint="default"/>
        <w:b w:val="0"/>
      </w:rPr>
    </w:lvl>
    <w:lvl w:ilvl="1" w:tplc="AEF68538">
      <w:start w:val="5"/>
      <w:numFmt w:val="bullet"/>
      <w:lvlText w:val="-"/>
      <w:lvlJc w:val="left"/>
      <w:pPr>
        <w:tabs>
          <w:tab w:val="num" w:pos="1440"/>
        </w:tabs>
        <w:ind w:left="1440" w:hanging="360"/>
      </w:pPr>
      <w:rPr>
        <w:rFonts w:ascii="Times New Roman" w:eastAsia="Times New Roman" w:hAnsi="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ED23488"/>
    <w:multiLevelType w:val="multilevel"/>
    <w:tmpl w:val="F5EA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C0273A"/>
    <w:multiLevelType w:val="multilevel"/>
    <w:tmpl w:val="13A6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9C75DF"/>
    <w:multiLevelType w:val="hybridMultilevel"/>
    <w:tmpl w:val="8AAEC3A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140E0874"/>
    <w:multiLevelType w:val="hybridMultilevel"/>
    <w:tmpl w:val="200CEC5E"/>
    <w:lvl w:ilvl="0" w:tplc="4A24C47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3B494F"/>
    <w:multiLevelType w:val="hybridMultilevel"/>
    <w:tmpl w:val="474A5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4676986"/>
    <w:multiLevelType w:val="hybridMultilevel"/>
    <w:tmpl w:val="4D8A1F90"/>
    <w:lvl w:ilvl="0" w:tplc="4B161656">
      <w:numFmt w:val="bullet"/>
      <w:lvlText w:val="•"/>
      <w:lvlJc w:val="left"/>
      <w:pPr>
        <w:ind w:left="720"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68C3946"/>
    <w:multiLevelType w:val="hybridMultilevel"/>
    <w:tmpl w:val="011A8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32FFC"/>
    <w:multiLevelType w:val="hybridMultilevel"/>
    <w:tmpl w:val="74FE960A"/>
    <w:lvl w:ilvl="0" w:tplc="67ACC3FE">
      <w:start w:val="7"/>
      <w:numFmt w:val="decimal"/>
      <w:lvlText w:val="%1."/>
      <w:lvlJc w:val="left"/>
      <w:pPr>
        <w:tabs>
          <w:tab w:val="num" w:pos="930"/>
        </w:tabs>
        <w:ind w:left="930" w:hanging="57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1CBE6E26"/>
    <w:multiLevelType w:val="hybridMultilevel"/>
    <w:tmpl w:val="2CFAD4D6"/>
    <w:lvl w:ilvl="0" w:tplc="7C8809D6">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20FB6C87"/>
    <w:multiLevelType w:val="hybridMultilevel"/>
    <w:tmpl w:val="FBF80864"/>
    <w:lvl w:ilvl="0" w:tplc="7C8809D6">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215A26A9"/>
    <w:multiLevelType w:val="hybridMultilevel"/>
    <w:tmpl w:val="B47EDA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36B0AC0"/>
    <w:multiLevelType w:val="hybridMultilevel"/>
    <w:tmpl w:val="2EEA5140"/>
    <w:lvl w:ilvl="0" w:tplc="4B16165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38D03D0"/>
    <w:multiLevelType w:val="multilevel"/>
    <w:tmpl w:val="C7500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4CA0AA3"/>
    <w:multiLevelType w:val="multilevel"/>
    <w:tmpl w:val="75CA4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3E701C"/>
    <w:multiLevelType w:val="multilevel"/>
    <w:tmpl w:val="5D46D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65D6A75"/>
    <w:multiLevelType w:val="multilevel"/>
    <w:tmpl w:val="A41AE1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BF7CCC"/>
    <w:multiLevelType w:val="hybridMultilevel"/>
    <w:tmpl w:val="EE38703C"/>
    <w:lvl w:ilvl="0" w:tplc="363E72B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8073C12"/>
    <w:multiLevelType w:val="multilevel"/>
    <w:tmpl w:val="5A34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809279B"/>
    <w:multiLevelType w:val="hybridMultilevel"/>
    <w:tmpl w:val="22C4099A"/>
    <w:lvl w:ilvl="0" w:tplc="4A24C47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BDF4B50"/>
    <w:multiLevelType w:val="multilevel"/>
    <w:tmpl w:val="F5EA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D2C2EE2"/>
    <w:multiLevelType w:val="hybridMultilevel"/>
    <w:tmpl w:val="B6E4B9AC"/>
    <w:lvl w:ilvl="0" w:tplc="4A24C47A">
      <w:start w:val="1"/>
      <w:numFmt w:val="bullet"/>
      <w:lvlText w:val="-"/>
      <w:lvlJc w:val="left"/>
      <w:pPr>
        <w:ind w:left="780" w:hanging="360"/>
      </w:pPr>
      <w:rPr>
        <w:rFonts w:ascii="Times New Roman" w:eastAsia="Times New Roman" w:hAnsi="Times New Roman"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4" w15:restartNumberingAfterBreak="0">
    <w:nsid w:val="2DDA5168"/>
    <w:multiLevelType w:val="hybridMultilevel"/>
    <w:tmpl w:val="8424C6EA"/>
    <w:lvl w:ilvl="0" w:tplc="075CBBAE">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2CC7DE1"/>
    <w:multiLevelType w:val="multilevel"/>
    <w:tmpl w:val="F8162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38064B9"/>
    <w:multiLevelType w:val="multilevel"/>
    <w:tmpl w:val="A3462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AD77DAB"/>
    <w:multiLevelType w:val="multilevel"/>
    <w:tmpl w:val="A8F2C80A"/>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B2A6A2D"/>
    <w:multiLevelType w:val="hybridMultilevel"/>
    <w:tmpl w:val="09E03110"/>
    <w:lvl w:ilvl="0" w:tplc="4B16165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B334FD7"/>
    <w:multiLevelType w:val="hybridMultilevel"/>
    <w:tmpl w:val="53764962"/>
    <w:lvl w:ilvl="0" w:tplc="4B16165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C4862A0"/>
    <w:multiLevelType w:val="multilevel"/>
    <w:tmpl w:val="B220E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FC2455C"/>
    <w:multiLevelType w:val="multilevel"/>
    <w:tmpl w:val="29701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0C33317"/>
    <w:multiLevelType w:val="multilevel"/>
    <w:tmpl w:val="77E279BC"/>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1080" w:hanging="720"/>
      </w:pPr>
      <w:rPr>
        <w:rFonts w:ascii="Times New Roman" w:hAnsi="Times New Roman" w:cs="Times New Roman" w:hint="default"/>
        <w:b/>
        <w:bCs/>
        <w:sz w:val="26"/>
      </w:rPr>
    </w:lvl>
    <w:lvl w:ilvl="2">
      <w:start w:val="1"/>
      <w:numFmt w:val="decimal"/>
      <w:isLgl/>
      <w:lvlText w:val="%1.%2.%3"/>
      <w:lvlJc w:val="left"/>
      <w:pPr>
        <w:ind w:left="1080" w:hanging="720"/>
      </w:pPr>
      <w:rPr>
        <w:rFonts w:ascii="Times New Roman" w:hAnsi="Times New Roman" w:cs="Times New Roman" w:hint="default"/>
        <w:sz w:val="26"/>
      </w:rPr>
    </w:lvl>
    <w:lvl w:ilvl="3">
      <w:start w:val="1"/>
      <w:numFmt w:val="decimal"/>
      <w:isLgl/>
      <w:lvlText w:val="%1.%2.%3.%4"/>
      <w:lvlJc w:val="left"/>
      <w:pPr>
        <w:ind w:left="1440" w:hanging="1080"/>
      </w:pPr>
      <w:rPr>
        <w:rFonts w:ascii="Times New Roman" w:hAnsi="Times New Roman" w:cs="Times New Roman" w:hint="default"/>
        <w:sz w:val="26"/>
      </w:rPr>
    </w:lvl>
    <w:lvl w:ilvl="4">
      <w:start w:val="1"/>
      <w:numFmt w:val="decimal"/>
      <w:isLgl/>
      <w:lvlText w:val="%1.%2.%3.%4.%5"/>
      <w:lvlJc w:val="left"/>
      <w:pPr>
        <w:ind w:left="1800" w:hanging="1440"/>
      </w:pPr>
      <w:rPr>
        <w:rFonts w:ascii="Times New Roman" w:hAnsi="Times New Roman" w:cs="Times New Roman" w:hint="default"/>
        <w:sz w:val="26"/>
      </w:rPr>
    </w:lvl>
    <w:lvl w:ilvl="5">
      <w:start w:val="1"/>
      <w:numFmt w:val="decimal"/>
      <w:isLgl/>
      <w:lvlText w:val="%1.%2.%3.%4.%5.%6"/>
      <w:lvlJc w:val="left"/>
      <w:pPr>
        <w:ind w:left="2160" w:hanging="1800"/>
      </w:pPr>
      <w:rPr>
        <w:rFonts w:ascii="Times New Roman" w:hAnsi="Times New Roman" w:cs="Times New Roman" w:hint="default"/>
        <w:sz w:val="26"/>
      </w:rPr>
    </w:lvl>
    <w:lvl w:ilvl="6">
      <w:start w:val="1"/>
      <w:numFmt w:val="decimal"/>
      <w:isLgl/>
      <w:lvlText w:val="%1.%2.%3.%4.%5.%6.%7"/>
      <w:lvlJc w:val="left"/>
      <w:pPr>
        <w:ind w:left="2160" w:hanging="1800"/>
      </w:pPr>
      <w:rPr>
        <w:rFonts w:ascii="Times New Roman" w:hAnsi="Times New Roman" w:cs="Times New Roman" w:hint="default"/>
        <w:sz w:val="26"/>
      </w:rPr>
    </w:lvl>
    <w:lvl w:ilvl="7">
      <w:start w:val="1"/>
      <w:numFmt w:val="decimal"/>
      <w:isLgl/>
      <w:lvlText w:val="%1.%2.%3.%4.%5.%6.%7.%8"/>
      <w:lvlJc w:val="left"/>
      <w:pPr>
        <w:ind w:left="2520" w:hanging="2160"/>
      </w:pPr>
      <w:rPr>
        <w:rFonts w:ascii="Times New Roman" w:hAnsi="Times New Roman" w:cs="Times New Roman" w:hint="default"/>
        <w:sz w:val="26"/>
      </w:rPr>
    </w:lvl>
    <w:lvl w:ilvl="8">
      <w:start w:val="1"/>
      <w:numFmt w:val="decimal"/>
      <w:isLgl/>
      <w:lvlText w:val="%1.%2.%3.%4.%5.%6.%7.%8.%9"/>
      <w:lvlJc w:val="left"/>
      <w:pPr>
        <w:ind w:left="2880" w:hanging="2520"/>
      </w:pPr>
      <w:rPr>
        <w:rFonts w:ascii="Times New Roman" w:hAnsi="Times New Roman" w:cs="Times New Roman" w:hint="default"/>
        <w:sz w:val="26"/>
      </w:rPr>
    </w:lvl>
  </w:abstractNum>
  <w:abstractNum w:abstractNumId="43" w15:restartNumberingAfterBreak="0">
    <w:nsid w:val="40FC3530"/>
    <w:multiLevelType w:val="multilevel"/>
    <w:tmpl w:val="F5EA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1CD0745"/>
    <w:multiLevelType w:val="hybridMultilevel"/>
    <w:tmpl w:val="44667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2A21416"/>
    <w:multiLevelType w:val="hybridMultilevel"/>
    <w:tmpl w:val="8DA8E89E"/>
    <w:lvl w:ilvl="0" w:tplc="63009144">
      <w:start w:val="1"/>
      <w:numFmt w:val="bullet"/>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3305206"/>
    <w:multiLevelType w:val="hybridMultilevel"/>
    <w:tmpl w:val="D1928A7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44B768B6"/>
    <w:multiLevelType w:val="multilevel"/>
    <w:tmpl w:val="F5EA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7054FB3"/>
    <w:multiLevelType w:val="hybridMultilevel"/>
    <w:tmpl w:val="9DAC5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534FCA"/>
    <w:multiLevelType w:val="hybridMultilevel"/>
    <w:tmpl w:val="E05A8F80"/>
    <w:lvl w:ilvl="0" w:tplc="7C8809D6">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4E125348"/>
    <w:multiLevelType w:val="hybridMultilevel"/>
    <w:tmpl w:val="629672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EDE7123"/>
    <w:multiLevelType w:val="hybridMultilevel"/>
    <w:tmpl w:val="0812F26E"/>
    <w:lvl w:ilvl="0" w:tplc="E3667488">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4FE836EA"/>
    <w:multiLevelType w:val="multilevel"/>
    <w:tmpl w:val="75CA4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0190FED"/>
    <w:multiLevelType w:val="hybridMultilevel"/>
    <w:tmpl w:val="5F907F46"/>
    <w:lvl w:ilvl="0" w:tplc="4B16165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2DC1BCD"/>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40B00FA"/>
    <w:multiLevelType w:val="multilevel"/>
    <w:tmpl w:val="43CEC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49D51DD"/>
    <w:multiLevelType w:val="multilevel"/>
    <w:tmpl w:val="9A2C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6C05BD9"/>
    <w:multiLevelType w:val="hybridMultilevel"/>
    <w:tmpl w:val="DF149004"/>
    <w:lvl w:ilvl="0" w:tplc="075CBBAE">
      <w:start w:val="1"/>
      <w:numFmt w:val="lowerLetter"/>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58" w15:restartNumberingAfterBreak="0">
    <w:nsid w:val="56FE261A"/>
    <w:multiLevelType w:val="multilevel"/>
    <w:tmpl w:val="DED8A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A36068A"/>
    <w:multiLevelType w:val="multilevel"/>
    <w:tmpl w:val="22BC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BA91F03"/>
    <w:multiLevelType w:val="hybridMultilevel"/>
    <w:tmpl w:val="DA2448A0"/>
    <w:lvl w:ilvl="0" w:tplc="AFB2EE70">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CC8367B"/>
    <w:multiLevelType w:val="multilevel"/>
    <w:tmpl w:val="A508C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D1235CB"/>
    <w:multiLevelType w:val="hybridMultilevel"/>
    <w:tmpl w:val="E780E02E"/>
    <w:lvl w:ilvl="0" w:tplc="4B16165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5EA524AC"/>
    <w:multiLevelType w:val="multilevel"/>
    <w:tmpl w:val="12D0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EBF0FBA"/>
    <w:multiLevelType w:val="multilevel"/>
    <w:tmpl w:val="E90E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2506B06"/>
    <w:multiLevelType w:val="multilevel"/>
    <w:tmpl w:val="3B9E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4776D82"/>
    <w:multiLevelType w:val="multilevel"/>
    <w:tmpl w:val="D6401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5D73133"/>
    <w:multiLevelType w:val="multilevel"/>
    <w:tmpl w:val="38D0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79228EC"/>
    <w:multiLevelType w:val="hybridMultilevel"/>
    <w:tmpl w:val="3F588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DC2173"/>
    <w:multiLevelType w:val="hybridMultilevel"/>
    <w:tmpl w:val="EF4E023C"/>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B4630D6"/>
    <w:multiLevelType w:val="hybridMultilevel"/>
    <w:tmpl w:val="70AA8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D937871"/>
    <w:multiLevelType w:val="multilevel"/>
    <w:tmpl w:val="A3B62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E5E565B"/>
    <w:multiLevelType w:val="multilevel"/>
    <w:tmpl w:val="4334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F2F39E6"/>
    <w:multiLevelType w:val="hybridMultilevel"/>
    <w:tmpl w:val="E30CEE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6FFE3285"/>
    <w:multiLevelType w:val="hybridMultilevel"/>
    <w:tmpl w:val="961C19E0"/>
    <w:lvl w:ilvl="0" w:tplc="AFB2EE70">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0FA6C17"/>
    <w:multiLevelType w:val="multilevel"/>
    <w:tmpl w:val="F5EAC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15B0674"/>
    <w:multiLevelType w:val="hybridMultilevel"/>
    <w:tmpl w:val="AED0DD0C"/>
    <w:lvl w:ilvl="0" w:tplc="7C8809D6">
      <w:start w:val="1"/>
      <w:numFmt w:val="decimal"/>
      <w:lvlText w:val="%1."/>
      <w:lvlJc w:val="left"/>
      <w:pPr>
        <w:tabs>
          <w:tab w:val="num" w:pos="840"/>
        </w:tabs>
        <w:ind w:left="840" w:hanging="360"/>
      </w:pPr>
      <w:rPr>
        <w:rFonts w:hint="default"/>
      </w:rPr>
    </w:lvl>
    <w:lvl w:ilvl="1" w:tplc="08090019" w:tentative="1">
      <w:start w:val="1"/>
      <w:numFmt w:val="lowerLetter"/>
      <w:lvlText w:val="%2."/>
      <w:lvlJc w:val="left"/>
      <w:pPr>
        <w:tabs>
          <w:tab w:val="num" w:pos="1560"/>
        </w:tabs>
        <w:ind w:left="1560" w:hanging="360"/>
      </w:pPr>
    </w:lvl>
    <w:lvl w:ilvl="2" w:tplc="0809001B" w:tentative="1">
      <w:start w:val="1"/>
      <w:numFmt w:val="lowerRoman"/>
      <w:lvlText w:val="%3."/>
      <w:lvlJc w:val="right"/>
      <w:pPr>
        <w:tabs>
          <w:tab w:val="num" w:pos="2280"/>
        </w:tabs>
        <w:ind w:left="2280" w:hanging="180"/>
      </w:pPr>
    </w:lvl>
    <w:lvl w:ilvl="3" w:tplc="0809000F" w:tentative="1">
      <w:start w:val="1"/>
      <w:numFmt w:val="decimal"/>
      <w:lvlText w:val="%4."/>
      <w:lvlJc w:val="left"/>
      <w:pPr>
        <w:tabs>
          <w:tab w:val="num" w:pos="3000"/>
        </w:tabs>
        <w:ind w:left="3000" w:hanging="360"/>
      </w:pPr>
    </w:lvl>
    <w:lvl w:ilvl="4" w:tplc="08090019" w:tentative="1">
      <w:start w:val="1"/>
      <w:numFmt w:val="lowerLetter"/>
      <w:lvlText w:val="%5."/>
      <w:lvlJc w:val="left"/>
      <w:pPr>
        <w:tabs>
          <w:tab w:val="num" w:pos="3720"/>
        </w:tabs>
        <w:ind w:left="3720" w:hanging="360"/>
      </w:pPr>
    </w:lvl>
    <w:lvl w:ilvl="5" w:tplc="0809001B" w:tentative="1">
      <w:start w:val="1"/>
      <w:numFmt w:val="lowerRoman"/>
      <w:lvlText w:val="%6."/>
      <w:lvlJc w:val="right"/>
      <w:pPr>
        <w:tabs>
          <w:tab w:val="num" w:pos="4440"/>
        </w:tabs>
        <w:ind w:left="4440" w:hanging="180"/>
      </w:pPr>
    </w:lvl>
    <w:lvl w:ilvl="6" w:tplc="0809000F" w:tentative="1">
      <w:start w:val="1"/>
      <w:numFmt w:val="decimal"/>
      <w:lvlText w:val="%7."/>
      <w:lvlJc w:val="left"/>
      <w:pPr>
        <w:tabs>
          <w:tab w:val="num" w:pos="5160"/>
        </w:tabs>
        <w:ind w:left="5160" w:hanging="360"/>
      </w:pPr>
    </w:lvl>
    <w:lvl w:ilvl="7" w:tplc="08090019" w:tentative="1">
      <w:start w:val="1"/>
      <w:numFmt w:val="lowerLetter"/>
      <w:lvlText w:val="%8."/>
      <w:lvlJc w:val="left"/>
      <w:pPr>
        <w:tabs>
          <w:tab w:val="num" w:pos="5880"/>
        </w:tabs>
        <w:ind w:left="5880" w:hanging="360"/>
      </w:pPr>
    </w:lvl>
    <w:lvl w:ilvl="8" w:tplc="0809001B" w:tentative="1">
      <w:start w:val="1"/>
      <w:numFmt w:val="lowerRoman"/>
      <w:lvlText w:val="%9."/>
      <w:lvlJc w:val="right"/>
      <w:pPr>
        <w:tabs>
          <w:tab w:val="num" w:pos="6600"/>
        </w:tabs>
        <w:ind w:left="6600" w:hanging="180"/>
      </w:pPr>
    </w:lvl>
  </w:abstractNum>
  <w:abstractNum w:abstractNumId="77" w15:restartNumberingAfterBreak="0">
    <w:nsid w:val="75312925"/>
    <w:multiLevelType w:val="hybridMultilevel"/>
    <w:tmpl w:val="515E0978"/>
    <w:lvl w:ilvl="0" w:tplc="AFB2EE70">
      <w:numFmt w:val="bullet"/>
      <w:lvlText w:val="•"/>
      <w:lvlJc w:val="left"/>
      <w:pPr>
        <w:ind w:left="720" w:hanging="72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6C37011"/>
    <w:multiLevelType w:val="multilevel"/>
    <w:tmpl w:val="1702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89E1550"/>
    <w:multiLevelType w:val="hybridMultilevel"/>
    <w:tmpl w:val="8E5CF2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A3E7ECA"/>
    <w:multiLevelType w:val="hybridMultilevel"/>
    <w:tmpl w:val="C08C6ECA"/>
    <w:lvl w:ilvl="0" w:tplc="4B16165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1" w15:restartNumberingAfterBreak="0">
    <w:nsid w:val="7B316C93"/>
    <w:multiLevelType w:val="multilevel"/>
    <w:tmpl w:val="07A8F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BE84045"/>
    <w:multiLevelType w:val="hybridMultilevel"/>
    <w:tmpl w:val="79BE04BE"/>
    <w:lvl w:ilvl="0" w:tplc="1E88C91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C19237F"/>
    <w:multiLevelType w:val="multilevel"/>
    <w:tmpl w:val="D85C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D5444B9"/>
    <w:multiLevelType w:val="hybridMultilevel"/>
    <w:tmpl w:val="8912D9E8"/>
    <w:lvl w:ilvl="0" w:tplc="2CA41D82">
      <w:start w:val="2"/>
      <w:numFmt w:val="bullet"/>
      <w:lvlText w:val="-"/>
      <w:lvlJc w:val="left"/>
      <w:pPr>
        <w:tabs>
          <w:tab w:val="num" w:pos="720"/>
        </w:tabs>
        <w:ind w:left="720" w:hanging="36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EA667E4"/>
    <w:multiLevelType w:val="hybridMultilevel"/>
    <w:tmpl w:val="D5B2C5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59580357">
    <w:abstractNumId w:val="84"/>
  </w:num>
  <w:num w:numId="2" w16cid:durableId="1265724375">
    <w:abstractNumId w:val="4"/>
  </w:num>
  <w:num w:numId="3" w16cid:durableId="1536118919">
    <w:abstractNumId w:val="23"/>
  </w:num>
  <w:num w:numId="4" w16cid:durableId="125782593">
    <w:abstractNumId w:val="76"/>
  </w:num>
  <w:num w:numId="5" w16cid:durableId="1942487477">
    <w:abstractNumId w:val="46"/>
  </w:num>
  <w:num w:numId="6" w16cid:durableId="547185618">
    <w:abstractNumId w:val="20"/>
  </w:num>
  <w:num w:numId="7" w16cid:durableId="1123109136">
    <w:abstractNumId w:val="11"/>
  </w:num>
  <w:num w:numId="8" w16cid:durableId="616524599">
    <w:abstractNumId w:val="69"/>
  </w:num>
  <w:num w:numId="9" w16cid:durableId="1727794413">
    <w:abstractNumId w:val="15"/>
  </w:num>
  <w:num w:numId="10" w16cid:durableId="606933263">
    <w:abstractNumId w:val="45"/>
  </w:num>
  <w:num w:numId="11" w16cid:durableId="772357679">
    <w:abstractNumId w:val="22"/>
  </w:num>
  <w:num w:numId="12" w16cid:durableId="1158839664">
    <w:abstractNumId w:val="21"/>
  </w:num>
  <w:num w:numId="13" w16cid:durableId="197858016">
    <w:abstractNumId w:val="49"/>
  </w:num>
  <w:num w:numId="14" w16cid:durableId="1159613026">
    <w:abstractNumId w:val="12"/>
  </w:num>
  <w:num w:numId="15" w16cid:durableId="1299458089">
    <w:abstractNumId w:val="57"/>
  </w:num>
  <w:num w:numId="16" w16cid:durableId="1887184722">
    <w:abstractNumId w:val="17"/>
  </w:num>
  <w:num w:numId="17" w16cid:durableId="686642102">
    <w:abstractNumId w:val="48"/>
  </w:num>
  <w:num w:numId="18" w16cid:durableId="1112626171">
    <w:abstractNumId w:val="19"/>
  </w:num>
  <w:num w:numId="19" w16cid:durableId="228420384">
    <w:abstractNumId w:val="60"/>
  </w:num>
  <w:num w:numId="20" w16cid:durableId="1747340901">
    <w:abstractNumId w:val="77"/>
  </w:num>
  <w:num w:numId="21" w16cid:durableId="727456766">
    <w:abstractNumId w:val="74"/>
  </w:num>
  <w:num w:numId="22" w16cid:durableId="398332967">
    <w:abstractNumId w:val="79"/>
  </w:num>
  <w:num w:numId="23" w16cid:durableId="1472676325">
    <w:abstractNumId w:val="68"/>
  </w:num>
  <w:num w:numId="24" w16cid:durableId="784158054">
    <w:abstractNumId w:val="34"/>
  </w:num>
  <w:num w:numId="25" w16cid:durableId="2066025651">
    <w:abstractNumId w:val="51"/>
  </w:num>
  <w:num w:numId="26" w16cid:durableId="1789814306">
    <w:abstractNumId w:val="70"/>
  </w:num>
  <w:num w:numId="27" w16cid:durableId="1922368094">
    <w:abstractNumId w:val="39"/>
  </w:num>
  <w:num w:numId="28" w16cid:durableId="2106534967">
    <w:abstractNumId w:val="53"/>
  </w:num>
  <w:num w:numId="29" w16cid:durableId="125785711">
    <w:abstractNumId w:val="62"/>
  </w:num>
  <w:num w:numId="30" w16cid:durableId="835339476">
    <w:abstractNumId w:val="80"/>
  </w:num>
  <w:num w:numId="31" w16cid:durableId="945117926">
    <w:abstractNumId w:val="18"/>
  </w:num>
  <w:num w:numId="32" w16cid:durableId="1658801467">
    <w:abstractNumId w:val="24"/>
  </w:num>
  <w:num w:numId="33" w16cid:durableId="665477190">
    <w:abstractNumId w:val="38"/>
  </w:num>
  <w:num w:numId="34" w16cid:durableId="657852756">
    <w:abstractNumId w:val="82"/>
  </w:num>
  <w:num w:numId="35" w16cid:durableId="528103306">
    <w:abstractNumId w:val="50"/>
  </w:num>
  <w:num w:numId="36" w16cid:durableId="1621034694">
    <w:abstractNumId w:val="0"/>
  </w:num>
  <w:num w:numId="37" w16cid:durableId="361564647">
    <w:abstractNumId w:val="6"/>
  </w:num>
  <w:num w:numId="38" w16cid:durableId="613290908">
    <w:abstractNumId w:val="16"/>
  </w:num>
  <w:num w:numId="39" w16cid:durableId="1931426022">
    <w:abstractNumId w:val="33"/>
  </w:num>
  <w:num w:numId="40" w16cid:durableId="222562886">
    <w:abstractNumId w:val="65"/>
  </w:num>
  <w:num w:numId="41" w16cid:durableId="1372419220">
    <w:abstractNumId w:val="41"/>
  </w:num>
  <w:num w:numId="42" w16cid:durableId="855003430">
    <w:abstractNumId w:val="10"/>
  </w:num>
  <w:num w:numId="43" w16cid:durableId="1815443672">
    <w:abstractNumId w:val="25"/>
  </w:num>
  <w:num w:numId="44" w16cid:durableId="920984584">
    <w:abstractNumId w:val="61"/>
  </w:num>
  <w:num w:numId="45" w16cid:durableId="374549471">
    <w:abstractNumId w:val="55"/>
  </w:num>
  <w:num w:numId="46" w16cid:durableId="1426262988">
    <w:abstractNumId w:val="66"/>
  </w:num>
  <w:num w:numId="47" w16cid:durableId="1291714623">
    <w:abstractNumId w:val="59"/>
  </w:num>
  <w:num w:numId="48" w16cid:durableId="802771281">
    <w:abstractNumId w:val="71"/>
  </w:num>
  <w:num w:numId="49" w16cid:durableId="1240168158">
    <w:abstractNumId w:val="64"/>
  </w:num>
  <w:num w:numId="50" w16cid:durableId="104930598">
    <w:abstractNumId w:val="36"/>
  </w:num>
  <w:num w:numId="51" w16cid:durableId="2141654457">
    <w:abstractNumId w:val="14"/>
  </w:num>
  <w:num w:numId="52" w16cid:durableId="739446928">
    <w:abstractNumId w:val="85"/>
  </w:num>
  <w:num w:numId="53" w16cid:durableId="644822624">
    <w:abstractNumId w:val="73"/>
  </w:num>
  <w:num w:numId="54" w16cid:durableId="1287738479">
    <w:abstractNumId w:val="56"/>
  </w:num>
  <w:num w:numId="55" w16cid:durableId="1872061913">
    <w:abstractNumId w:val="31"/>
  </w:num>
  <w:num w:numId="56" w16cid:durableId="309601025">
    <w:abstractNumId w:val="13"/>
  </w:num>
  <w:num w:numId="57" w16cid:durableId="390231887">
    <w:abstractNumId w:val="26"/>
  </w:num>
  <w:num w:numId="58" w16cid:durableId="1771658048">
    <w:abstractNumId w:val="52"/>
  </w:num>
  <w:num w:numId="59" w16cid:durableId="1888178675">
    <w:abstractNumId w:val="43"/>
  </w:num>
  <w:num w:numId="60" w16cid:durableId="274407701">
    <w:abstractNumId w:val="32"/>
  </w:num>
  <w:num w:numId="61" w16cid:durableId="1217083330">
    <w:abstractNumId w:val="47"/>
  </w:num>
  <w:num w:numId="62" w16cid:durableId="1433211222">
    <w:abstractNumId w:val="44"/>
  </w:num>
  <w:num w:numId="63" w16cid:durableId="1310206014">
    <w:abstractNumId w:val="75"/>
  </w:num>
  <w:num w:numId="64" w16cid:durableId="237597683">
    <w:abstractNumId w:val="28"/>
  </w:num>
  <w:num w:numId="65" w16cid:durableId="2091350085">
    <w:abstractNumId w:val="72"/>
  </w:num>
  <w:num w:numId="66" w16cid:durableId="794564303">
    <w:abstractNumId w:val="35"/>
  </w:num>
  <w:num w:numId="67" w16cid:durableId="870385669">
    <w:abstractNumId w:val="9"/>
  </w:num>
  <w:num w:numId="68" w16cid:durableId="1650670720">
    <w:abstractNumId w:val="40"/>
  </w:num>
  <w:num w:numId="69" w16cid:durableId="1137181350">
    <w:abstractNumId w:val="81"/>
  </w:num>
  <w:num w:numId="70" w16cid:durableId="1542591583">
    <w:abstractNumId w:val="27"/>
  </w:num>
  <w:num w:numId="71" w16cid:durableId="1203831114">
    <w:abstractNumId w:val="67"/>
  </w:num>
  <w:num w:numId="72" w16cid:durableId="287663599">
    <w:abstractNumId w:val="63"/>
  </w:num>
  <w:num w:numId="73" w16cid:durableId="1365905594">
    <w:abstractNumId w:val="7"/>
  </w:num>
  <w:num w:numId="74" w16cid:durableId="1780442034">
    <w:abstractNumId w:val="78"/>
  </w:num>
  <w:num w:numId="75" w16cid:durableId="1814520454">
    <w:abstractNumId w:val="3"/>
  </w:num>
  <w:num w:numId="76" w16cid:durableId="1737044295">
    <w:abstractNumId w:val="5"/>
  </w:num>
  <w:num w:numId="77" w16cid:durableId="631986900">
    <w:abstractNumId w:val="8"/>
  </w:num>
  <w:num w:numId="78" w16cid:durableId="1402673451">
    <w:abstractNumId w:val="58"/>
  </w:num>
  <w:num w:numId="79" w16cid:durableId="1251768275">
    <w:abstractNumId w:val="2"/>
  </w:num>
  <w:num w:numId="80" w16cid:durableId="619730155">
    <w:abstractNumId w:val="37"/>
  </w:num>
  <w:num w:numId="81" w16cid:durableId="2043675543">
    <w:abstractNumId w:val="30"/>
  </w:num>
  <w:num w:numId="82" w16cid:durableId="2022848931">
    <w:abstractNumId w:val="54"/>
  </w:num>
  <w:num w:numId="83" w16cid:durableId="1431127272">
    <w:abstractNumId w:val="0"/>
  </w:num>
  <w:num w:numId="84" w16cid:durableId="1118790435">
    <w:abstractNumId w:val="0"/>
  </w:num>
  <w:num w:numId="85" w16cid:durableId="124397647">
    <w:abstractNumId w:val="0"/>
  </w:num>
  <w:num w:numId="86" w16cid:durableId="223296691">
    <w:abstractNumId w:val="0"/>
  </w:num>
  <w:num w:numId="87" w16cid:durableId="1294021474">
    <w:abstractNumId w:val="0"/>
  </w:num>
  <w:num w:numId="88" w16cid:durableId="119232363">
    <w:abstractNumId w:val="0"/>
  </w:num>
  <w:num w:numId="89" w16cid:durableId="2119443767">
    <w:abstractNumId w:val="0"/>
  </w:num>
  <w:num w:numId="90" w16cid:durableId="2016222899">
    <w:abstractNumId w:val="0"/>
  </w:num>
  <w:num w:numId="91" w16cid:durableId="1984583215">
    <w:abstractNumId w:val="0"/>
  </w:num>
  <w:num w:numId="92" w16cid:durableId="295068878">
    <w:abstractNumId w:val="0"/>
  </w:num>
  <w:num w:numId="93" w16cid:durableId="84541655">
    <w:abstractNumId w:val="0"/>
  </w:num>
  <w:num w:numId="94" w16cid:durableId="1770350478">
    <w:abstractNumId w:val="0"/>
  </w:num>
  <w:num w:numId="95" w16cid:durableId="259801040">
    <w:abstractNumId w:val="0"/>
  </w:num>
  <w:num w:numId="96" w16cid:durableId="1240557679">
    <w:abstractNumId w:val="0"/>
  </w:num>
  <w:num w:numId="97" w16cid:durableId="1199313435">
    <w:abstractNumId w:val="0"/>
  </w:num>
  <w:num w:numId="98" w16cid:durableId="1436170774">
    <w:abstractNumId w:val="0"/>
  </w:num>
  <w:num w:numId="99" w16cid:durableId="451051002">
    <w:abstractNumId w:val="0"/>
  </w:num>
  <w:num w:numId="100" w16cid:durableId="617643341">
    <w:abstractNumId w:val="0"/>
  </w:num>
  <w:num w:numId="101" w16cid:durableId="1146163809">
    <w:abstractNumId w:val="0"/>
  </w:num>
  <w:num w:numId="102" w16cid:durableId="1223295620">
    <w:abstractNumId w:val="42"/>
  </w:num>
  <w:num w:numId="103" w16cid:durableId="977995859">
    <w:abstractNumId w:val="1"/>
  </w:num>
  <w:num w:numId="104" w16cid:durableId="2012560766">
    <w:abstractNumId w:val="29"/>
  </w:num>
  <w:num w:numId="105" w16cid:durableId="1051147265">
    <w:abstractNumId w:val="83"/>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BC2"/>
    <w:rsid w:val="000011DC"/>
    <w:rsid w:val="00002EFB"/>
    <w:rsid w:val="0000412E"/>
    <w:rsid w:val="00007139"/>
    <w:rsid w:val="00007C9F"/>
    <w:rsid w:val="00011FCB"/>
    <w:rsid w:val="000129CD"/>
    <w:rsid w:val="000146A9"/>
    <w:rsid w:val="00016BC9"/>
    <w:rsid w:val="00021A92"/>
    <w:rsid w:val="0002233D"/>
    <w:rsid w:val="00027017"/>
    <w:rsid w:val="0003081B"/>
    <w:rsid w:val="000320F9"/>
    <w:rsid w:val="00036C1D"/>
    <w:rsid w:val="000454E2"/>
    <w:rsid w:val="00047A14"/>
    <w:rsid w:val="00053157"/>
    <w:rsid w:val="00054009"/>
    <w:rsid w:val="00054A2C"/>
    <w:rsid w:val="0006017F"/>
    <w:rsid w:val="00063BC3"/>
    <w:rsid w:val="00070203"/>
    <w:rsid w:val="00071040"/>
    <w:rsid w:val="00075C67"/>
    <w:rsid w:val="00083872"/>
    <w:rsid w:val="0008563A"/>
    <w:rsid w:val="0008615D"/>
    <w:rsid w:val="00087721"/>
    <w:rsid w:val="00090E2C"/>
    <w:rsid w:val="00093A8B"/>
    <w:rsid w:val="0009401A"/>
    <w:rsid w:val="000947FB"/>
    <w:rsid w:val="00096256"/>
    <w:rsid w:val="000A0DC7"/>
    <w:rsid w:val="000A15D5"/>
    <w:rsid w:val="000B03BB"/>
    <w:rsid w:val="000B1C36"/>
    <w:rsid w:val="000B1E78"/>
    <w:rsid w:val="000B311A"/>
    <w:rsid w:val="000C0FE9"/>
    <w:rsid w:val="000D22E8"/>
    <w:rsid w:val="000D33F0"/>
    <w:rsid w:val="000E0AAC"/>
    <w:rsid w:val="000E5D5B"/>
    <w:rsid w:val="000E7384"/>
    <w:rsid w:val="000F3960"/>
    <w:rsid w:val="000F3F62"/>
    <w:rsid w:val="000F4075"/>
    <w:rsid w:val="000F438F"/>
    <w:rsid w:val="000F5225"/>
    <w:rsid w:val="000F5E39"/>
    <w:rsid w:val="001025F0"/>
    <w:rsid w:val="00102C00"/>
    <w:rsid w:val="00110B61"/>
    <w:rsid w:val="00114FFB"/>
    <w:rsid w:val="001205E0"/>
    <w:rsid w:val="001231A9"/>
    <w:rsid w:val="00133085"/>
    <w:rsid w:val="001331EF"/>
    <w:rsid w:val="001345C3"/>
    <w:rsid w:val="00142E9B"/>
    <w:rsid w:val="0014564F"/>
    <w:rsid w:val="00146175"/>
    <w:rsid w:val="00147A69"/>
    <w:rsid w:val="00150DB8"/>
    <w:rsid w:val="0015104A"/>
    <w:rsid w:val="0015303D"/>
    <w:rsid w:val="0015651B"/>
    <w:rsid w:val="00162256"/>
    <w:rsid w:val="00171FF5"/>
    <w:rsid w:val="00173A6B"/>
    <w:rsid w:val="00173CC0"/>
    <w:rsid w:val="001767A2"/>
    <w:rsid w:val="00183EB6"/>
    <w:rsid w:val="00191F1A"/>
    <w:rsid w:val="001954D8"/>
    <w:rsid w:val="001968AC"/>
    <w:rsid w:val="001A037D"/>
    <w:rsid w:val="001A3C09"/>
    <w:rsid w:val="001A7A75"/>
    <w:rsid w:val="001B4491"/>
    <w:rsid w:val="001B5AE8"/>
    <w:rsid w:val="001B5B2F"/>
    <w:rsid w:val="001C0C46"/>
    <w:rsid w:val="001C2C19"/>
    <w:rsid w:val="001C4B1F"/>
    <w:rsid w:val="001D0C01"/>
    <w:rsid w:val="001D54AD"/>
    <w:rsid w:val="001D7743"/>
    <w:rsid w:val="001E542D"/>
    <w:rsid w:val="001F0C6E"/>
    <w:rsid w:val="00203152"/>
    <w:rsid w:val="0020532E"/>
    <w:rsid w:val="00205B55"/>
    <w:rsid w:val="00212607"/>
    <w:rsid w:val="00216148"/>
    <w:rsid w:val="002202B3"/>
    <w:rsid w:val="002202BA"/>
    <w:rsid w:val="002217EC"/>
    <w:rsid w:val="00224026"/>
    <w:rsid w:val="00227279"/>
    <w:rsid w:val="00230B6B"/>
    <w:rsid w:val="0023165B"/>
    <w:rsid w:val="00233945"/>
    <w:rsid w:val="00240A15"/>
    <w:rsid w:val="00240A6B"/>
    <w:rsid w:val="002478C8"/>
    <w:rsid w:val="00251A51"/>
    <w:rsid w:val="00252090"/>
    <w:rsid w:val="00253E9F"/>
    <w:rsid w:val="00255D6F"/>
    <w:rsid w:val="0026764A"/>
    <w:rsid w:val="002701CE"/>
    <w:rsid w:val="002725D1"/>
    <w:rsid w:val="0027398A"/>
    <w:rsid w:val="00276263"/>
    <w:rsid w:val="00277075"/>
    <w:rsid w:val="00283D2F"/>
    <w:rsid w:val="00293034"/>
    <w:rsid w:val="00293D0A"/>
    <w:rsid w:val="00295508"/>
    <w:rsid w:val="0029708E"/>
    <w:rsid w:val="0029725D"/>
    <w:rsid w:val="002A1513"/>
    <w:rsid w:val="002A1DA4"/>
    <w:rsid w:val="002A249F"/>
    <w:rsid w:val="002A2CB1"/>
    <w:rsid w:val="002A5CE4"/>
    <w:rsid w:val="002B0BBB"/>
    <w:rsid w:val="002B57DC"/>
    <w:rsid w:val="002B5FAF"/>
    <w:rsid w:val="002B7305"/>
    <w:rsid w:val="002C2980"/>
    <w:rsid w:val="002C2EE9"/>
    <w:rsid w:val="002C4A42"/>
    <w:rsid w:val="002C6763"/>
    <w:rsid w:val="002C7AEE"/>
    <w:rsid w:val="002D0A98"/>
    <w:rsid w:val="002D1B65"/>
    <w:rsid w:val="002D3A8A"/>
    <w:rsid w:val="002D7685"/>
    <w:rsid w:val="002E057E"/>
    <w:rsid w:val="002E0BFA"/>
    <w:rsid w:val="002E2438"/>
    <w:rsid w:val="002E3439"/>
    <w:rsid w:val="002F0A62"/>
    <w:rsid w:val="002F556C"/>
    <w:rsid w:val="002F55CA"/>
    <w:rsid w:val="002F6159"/>
    <w:rsid w:val="00304926"/>
    <w:rsid w:val="0030567B"/>
    <w:rsid w:val="003058B9"/>
    <w:rsid w:val="003066FA"/>
    <w:rsid w:val="0031021B"/>
    <w:rsid w:val="00311102"/>
    <w:rsid w:val="003112F4"/>
    <w:rsid w:val="00316F72"/>
    <w:rsid w:val="00317384"/>
    <w:rsid w:val="00321BC5"/>
    <w:rsid w:val="00326633"/>
    <w:rsid w:val="00326EE5"/>
    <w:rsid w:val="00330087"/>
    <w:rsid w:val="00331ADF"/>
    <w:rsid w:val="003331F4"/>
    <w:rsid w:val="0033387E"/>
    <w:rsid w:val="00335C5A"/>
    <w:rsid w:val="00336D18"/>
    <w:rsid w:val="0033706B"/>
    <w:rsid w:val="00345811"/>
    <w:rsid w:val="00345CDF"/>
    <w:rsid w:val="00351D7F"/>
    <w:rsid w:val="003538F5"/>
    <w:rsid w:val="00356CA0"/>
    <w:rsid w:val="00356DA6"/>
    <w:rsid w:val="0036200D"/>
    <w:rsid w:val="00364161"/>
    <w:rsid w:val="00364B12"/>
    <w:rsid w:val="00366381"/>
    <w:rsid w:val="00370036"/>
    <w:rsid w:val="00372DAE"/>
    <w:rsid w:val="00375A22"/>
    <w:rsid w:val="003765C6"/>
    <w:rsid w:val="00382D80"/>
    <w:rsid w:val="00385267"/>
    <w:rsid w:val="00390C5E"/>
    <w:rsid w:val="00394E58"/>
    <w:rsid w:val="00395221"/>
    <w:rsid w:val="00397A5B"/>
    <w:rsid w:val="003A35B8"/>
    <w:rsid w:val="003A3684"/>
    <w:rsid w:val="003A671A"/>
    <w:rsid w:val="003C1895"/>
    <w:rsid w:val="003C1F51"/>
    <w:rsid w:val="003C2768"/>
    <w:rsid w:val="003C341C"/>
    <w:rsid w:val="003C7D3B"/>
    <w:rsid w:val="003D0094"/>
    <w:rsid w:val="003D46DF"/>
    <w:rsid w:val="003D79D5"/>
    <w:rsid w:val="003E3A74"/>
    <w:rsid w:val="003E5BC0"/>
    <w:rsid w:val="003E5FF7"/>
    <w:rsid w:val="003F13EE"/>
    <w:rsid w:val="003F1B63"/>
    <w:rsid w:val="00400BC9"/>
    <w:rsid w:val="00402BC2"/>
    <w:rsid w:val="0040538F"/>
    <w:rsid w:val="00414992"/>
    <w:rsid w:val="0041537C"/>
    <w:rsid w:val="00422CAD"/>
    <w:rsid w:val="0042683F"/>
    <w:rsid w:val="00427922"/>
    <w:rsid w:val="00431AAA"/>
    <w:rsid w:val="00433EFE"/>
    <w:rsid w:val="00434ECA"/>
    <w:rsid w:val="004356CC"/>
    <w:rsid w:val="00440ABE"/>
    <w:rsid w:val="004419EA"/>
    <w:rsid w:val="00444F0A"/>
    <w:rsid w:val="004459EA"/>
    <w:rsid w:val="004522DD"/>
    <w:rsid w:val="00454B66"/>
    <w:rsid w:val="00455BCE"/>
    <w:rsid w:val="0045789C"/>
    <w:rsid w:val="004618DD"/>
    <w:rsid w:val="00461C98"/>
    <w:rsid w:val="00461FAD"/>
    <w:rsid w:val="00470CB6"/>
    <w:rsid w:val="004778D9"/>
    <w:rsid w:val="00485550"/>
    <w:rsid w:val="004862DD"/>
    <w:rsid w:val="00486729"/>
    <w:rsid w:val="004912D6"/>
    <w:rsid w:val="0049522C"/>
    <w:rsid w:val="00495499"/>
    <w:rsid w:val="004975B8"/>
    <w:rsid w:val="004A3FDB"/>
    <w:rsid w:val="004A4D73"/>
    <w:rsid w:val="004A4E19"/>
    <w:rsid w:val="004A4F03"/>
    <w:rsid w:val="004C0220"/>
    <w:rsid w:val="004C5122"/>
    <w:rsid w:val="004C58F9"/>
    <w:rsid w:val="004C6C7C"/>
    <w:rsid w:val="004C71A4"/>
    <w:rsid w:val="004D08F0"/>
    <w:rsid w:val="004D565C"/>
    <w:rsid w:val="004E4649"/>
    <w:rsid w:val="004E6717"/>
    <w:rsid w:val="004F4476"/>
    <w:rsid w:val="004F59FD"/>
    <w:rsid w:val="004F5C29"/>
    <w:rsid w:val="004F6384"/>
    <w:rsid w:val="00504F54"/>
    <w:rsid w:val="005071F4"/>
    <w:rsid w:val="00520558"/>
    <w:rsid w:val="00521FC9"/>
    <w:rsid w:val="005317FB"/>
    <w:rsid w:val="00531A55"/>
    <w:rsid w:val="005329B4"/>
    <w:rsid w:val="005346FC"/>
    <w:rsid w:val="00535CC3"/>
    <w:rsid w:val="005418FE"/>
    <w:rsid w:val="00542E12"/>
    <w:rsid w:val="00543D13"/>
    <w:rsid w:val="00544D37"/>
    <w:rsid w:val="00552A65"/>
    <w:rsid w:val="00552F9F"/>
    <w:rsid w:val="0055368B"/>
    <w:rsid w:val="005538DE"/>
    <w:rsid w:val="00560B0F"/>
    <w:rsid w:val="00582DD3"/>
    <w:rsid w:val="00583AA3"/>
    <w:rsid w:val="005934D1"/>
    <w:rsid w:val="00595C7B"/>
    <w:rsid w:val="00596249"/>
    <w:rsid w:val="00596CBD"/>
    <w:rsid w:val="005976E7"/>
    <w:rsid w:val="005A0E79"/>
    <w:rsid w:val="005A14D5"/>
    <w:rsid w:val="005A2142"/>
    <w:rsid w:val="005A4CF1"/>
    <w:rsid w:val="005A5D35"/>
    <w:rsid w:val="005A642E"/>
    <w:rsid w:val="005B5878"/>
    <w:rsid w:val="005B7223"/>
    <w:rsid w:val="005B73C8"/>
    <w:rsid w:val="005C147A"/>
    <w:rsid w:val="005C3C95"/>
    <w:rsid w:val="005C5C55"/>
    <w:rsid w:val="005C69AA"/>
    <w:rsid w:val="005D1971"/>
    <w:rsid w:val="005E1973"/>
    <w:rsid w:val="005E482C"/>
    <w:rsid w:val="005E5C82"/>
    <w:rsid w:val="005E5EEE"/>
    <w:rsid w:val="005F09A7"/>
    <w:rsid w:val="005F4F48"/>
    <w:rsid w:val="005F754D"/>
    <w:rsid w:val="0061536B"/>
    <w:rsid w:val="00615849"/>
    <w:rsid w:val="006164CD"/>
    <w:rsid w:val="006243A9"/>
    <w:rsid w:val="006301AA"/>
    <w:rsid w:val="00640E0C"/>
    <w:rsid w:val="006467D6"/>
    <w:rsid w:val="00651CA9"/>
    <w:rsid w:val="006528A7"/>
    <w:rsid w:val="00660BAC"/>
    <w:rsid w:val="00660C94"/>
    <w:rsid w:val="00662860"/>
    <w:rsid w:val="006636B5"/>
    <w:rsid w:val="00663CBC"/>
    <w:rsid w:val="00670831"/>
    <w:rsid w:val="00673DC9"/>
    <w:rsid w:val="00680633"/>
    <w:rsid w:val="00682894"/>
    <w:rsid w:val="00683B26"/>
    <w:rsid w:val="00686A9C"/>
    <w:rsid w:val="00686BCE"/>
    <w:rsid w:val="00693468"/>
    <w:rsid w:val="00693573"/>
    <w:rsid w:val="006A3B10"/>
    <w:rsid w:val="006A52A8"/>
    <w:rsid w:val="006B298C"/>
    <w:rsid w:val="006B3269"/>
    <w:rsid w:val="006C380C"/>
    <w:rsid w:val="006C3A63"/>
    <w:rsid w:val="006C53E4"/>
    <w:rsid w:val="006D08B3"/>
    <w:rsid w:val="006D2CDE"/>
    <w:rsid w:val="006D5809"/>
    <w:rsid w:val="006D66CE"/>
    <w:rsid w:val="006D692F"/>
    <w:rsid w:val="006E4BDA"/>
    <w:rsid w:val="006E6355"/>
    <w:rsid w:val="006E677C"/>
    <w:rsid w:val="006F21F1"/>
    <w:rsid w:val="006F3E12"/>
    <w:rsid w:val="006F47FF"/>
    <w:rsid w:val="006F5FE6"/>
    <w:rsid w:val="0070321E"/>
    <w:rsid w:val="00704819"/>
    <w:rsid w:val="00704EB7"/>
    <w:rsid w:val="00705B71"/>
    <w:rsid w:val="00706F34"/>
    <w:rsid w:val="0070729C"/>
    <w:rsid w:val="007159A6"/>
    <w:rsid w:val="00716F72"/>
    <w:rsid w:val="00717BC2"/>
    <w:rsid w:val="00722F8E"/>
    <w:rsid w:val="00725EAF"/>
    <w:rsid w:val="00726A7F"/>
    <w:rsid w:val="00726AA0"/>
    <w:rsid w:val="00727420"/>
    <w:rsid w:val="00727ECB"/>
    <w:rsid w:val="007319E0"/>
    <w:rsid w:val="0073229F"/>
    <w:rsid w:val="00735582"/>
    <w:rsid w:val="00740854"/>
    <w:rsid w:val="00741477"/>
    <w:rsid w:val="00742067"/>
    <w:rsid w:val="00743A01"/>
    <w:rsid w:val="00746D1B"/>
    <w:rsid w:val="0075137F"/>
    <w:rsid w:val="007515C3"/>
    <w:rsid w:val="00761035"/>
    <w:rsid w:val="00764FAC"/>
    <w:rsid w:val="00766A63"/>
    <w:rsid w:val="00767615"/>
    <w:rsid w:val="00770562"/>
    <w:rsid w:val="00773408"/>
    <w:rsid w:val="0077695F"/>
    <w:rsid w:val="0078349F"/>
    <w:rsid w:val="00790C22"/>
    <w:rsid w:val="00795624"/>
    <w:rsid w:val="00795D6F"/>
    <w:rsid w:val="00797C0C"/>
    <w:rsid w:val="007A42EE"/>
    <w:rsid w:val="007A64D9"/>
    <w:rsid w:val="007A7A41"/>
    <w:rsid w:val="007B1721"/>
    <w:rsid w:val="007B18AE"/>
    <w:rsid w:val="007B23E1"/>
    <w:rsid w:val="007B5C38"/>
    <w:rsid w:val="007B723E"/>
    <w:rsid w:val="007B73A9"/>
    <w:rsid w:val="007C291F"/>
    <w:rsid w:val="007D38B5"/>
    <w:rsid w:val="007E286A"/>
    <w:rsid w:val="007F1DC1"/>
    <w:rsid w:val="007F3057"/>
    <w:rsid w:val="007F3DEB"/>
    <w:rsid w:val="007F3F57"/>
    <w:rsid w:val="007F47CE"/>
    <w:rsid w:val="00801AFC"/>
    <w:rsid w:val="008024A3"/>
    <w:rsid w:val="00802825"/>
    <w:rsid w:val="008032EF"/>
    <w:rsid w:val="00804334"/>
    <w:rsid w:val="00807C2C"/>
    <w:rsid w:val="008105C2"/>
    <w:rsid w:val="008105E2"/>
    <w:rsid w:val="00816BEE"/>
    <w:rsid w:val="00821794"/>
    <w:rsid w:val="00822877"/>
    <w:rsid w:val="00823B4E"/>
    <w:rsid w:val="008250A0"/>
    <w:rsid w:val="008263D1"/>
    <w:rsid w:val="0082671B"/>
    <w:rsid w:val="008307F8"/>
    <w:rsid w:val="00831EF0"/>
    <w:rsid w:val="0083256A"/>
    <w:rsid w:val="00833288"/>
    <w:rsid w:val="008407D9"/>
    <w:rsid w:val="0084238A"/>
    <w:rsid w:val="008445D6"/>
    <w:rsid w:val="00844D73"/>
    <w:rsid w:val="008464AC"/>
    <w:rsid w:val="008466D7"/>
    <w:rsid w:val="008474FC"/>
    <w:rsid w:val="0085473F"/>
    <w:rsid w:val="00857652"/>
    <w:rsid w:val="00857F8D"/>
    <w:rsid w:val="008671B7"/>
    <w:rsid w:val="00873BC1"/>
    <w:rsid w:val="008742D3"/>
    <w:rsid w:val="008760EA"/>
    <w:rsid w:val="008806D5"/>
    <w:rsid w:val="008808C9"/>
    <w:rsid w:val="00882D41"/>
    <w:rsid w:val="0088337D"/>
    <w:rsid w:val="00884BB9"/>
    <w:rsid w:val="00887CD1"/>
    <w:rsid w:val="00891C01"/>
    <w:rsid w:val="00892735"/>
    <w:rsid w:val="008929B2"/>
    <w:rsid w:val="00893E99"/>
    <w:rsid w:val="008A01F5"/>
    <w:rsid w:val="008A32A8"/>
    <w:rsid w:val="008B0068"/>
    <w:rsid w:val="008B698D"/>
    <w:rsid w:val="008B78D1"/>
    <w:rsid w:val="008C00DC"/>
    <w:rsid w:val="008C2B3E"/>
    <w:rsid w:val="008C52C5"/>
    <w:rsid w:val="008D1657"/>
    <w:rsid w:val="008D22CD"/>
    <w:rsid w:val="008D26CB"/>
    <w:rsid w:val="008D3093"/>
    <w:rsid w:val="008D67D3"/>
    <w:rsid w:val="008D7883"/>
    <w:rsid w:val="008E18CC"/>
    <w:rsid w:val="008E7404"/>
    <w:rsid w:val="008F2243"/>
    <w:rsid w:val="008F6F0C"/>
    <w:rsid w:val="009036D2"/>
    <w:rsid w:val="00905AD9"/>
    <w:rsid w:val="00914363"/>
    <w:rsid w:val="00917E82"/>
    <w:rsid w:val="00921F87"/>
    <w:rsid w:val="00925C3A"/>
    <w:rsid w:val="00927F46"/>
    <w:rsid w:val="00930250"/>
    <w:rsid w:val="00940233"/>
    <w:rsid w:val="0094121D"/>
    <w:rsid w:val="00946A16"/>
    <w:rsid w:val="009522FC"/>
    <w:rsid w:val="009535A7"/>
    <w:rsid w:val="00953A6B"/>
    <w:rsid w:val="00954071"/>
    <w:rsid w:val="00956FC1"/>
    <w:rsid w:val="009576E1"/>
    <w:rsid w:val="00957F5C"/>
    <w:rsid w:val="0096130D"/>
    <w:rsid w:val="00962F7A"/>
    <w:rsid w:val="00971258"/>
    <w:rsid w:val="009725FC"/>
    <w:rsid w:val="00972B50"/>
    <w:rsid w:val="00975495"/>
    <w:rsid w:val="00975CF8"/>
    <w:rsid w:val="00977253"/>
    <w:rsid w:val="00986DC4"/>
    <w:rsid w:val="009950C5"/>
    <w:rsid w:val="009958A2"/>
    <w:rsid w:val="009B0A6D"/>
    <w:rsid w:val="009B0C59"/>
    <w:rsid w:val="009B2B2B"/>
    <w:rsid w:val="009B5DA2"/>
    <w:rsid w:val="009B64B3"/>
    <w:rsid w:val="009B6F00"/>
    <w:rsid w:val="009C62D2"/>
    <w:rsid w:val="009C63C2"/>
    <w:rsid w:val="009C7870"/>
    <w:rsid w:val="009D24B5"/>
    <w:rsid w:val="009D438C"/>
    <w:rsid w:val="009E1B2D"/>
    <w:rsid w:val="009E1C4C"/>
    <w:rsid w:val="009E3B12"/>
    <w:rsid w:val="009F02A5"/>
    <w:rsid w:val="009F0FDA"/>
    <w:rsid w:val="009F39A2"/>
    <w:rsid w:val="009F6457"/>
    <w:rsid w:val="00A045C8"/>
    <w:rsid w:val="00A07441"/>
    <w:rsid w:val="00A14A44"/>
    <w:rsid w:val="00A16953"/>
    <w:rsid w:val="00A17456"/>
    <w:rsid w:val="00A22FD1"/>
    <w:rsid w:val="00A3172C"/>
    <w:rsid w:val="00A335BB"/>
    <w:rsid w:val="00A33C6C"/>
    <w:rsid w:val="00A37F79"/>
    <w:rsid w:val="00A40DA3"/>
    <w:rsid w:val="00A522A5"/>
    <w:rsid w:val="00A551F3"/>
    <w:rsid w:val="00A56C09"/>
    <w:rsid w:val="00A56E2C"/>
    <w:rsid w:val="00A57D51"/>
    <w:rsid w:val="00A60C92"/>
    <w:rsid w:val="00A61014"/>
    <w:rsid w:val="00A6141B"/>
    <w:rsid w:val="00A61847"/>
    <w:rsid w:val="00A63249"/>
    <w:rsid w:val="00A806C6"/>
    <w:rsid w:val="00A82741"/>
    <w:rsid w:val="00A86394"/>
    <w:rsid w:val="00A863F3"/>
    <w:rsid w:val="00A90357"/>
    <w:rsid w:val="00A91111"/>
    <w:rsid w:val="00A95B92"/>
    <w:rsid w:val="00A97430"/>
    <w:rsid w:val="00AA0223"/>
    <w:rsid w:val="00AA24E9"/>
    <w:rsid w:val="00AA3C4C"/>
    <w:rsid w:val="00AA5326"/>
    <w:rsid w:val="00AA56E6"/>
    <w:rsid w:val="00AB5997"/>
    <w:rsid w:val="00AC03FA"/>
    <w:rsid w:val="00AC3072"/>
    <w:rsid w:val="00AC39B0"/>
    <w:rsid w:val="00AC3E00"/>
    <w:rsid w:val="00AC74FB"/>
    <w:rsid w:val="00AD3DD3"/>
    <w:rsid w:val="00AD418E"/>
    <w:rsid w:val="00AD497A"/>
    <w:rsid w:val="00AE0B8B"/>
    <w:rsid w:val="00AE49D1"/>
    <w:rsid w:val="00AE607A"/>
    <w:rsid w:val="00AE74EA"/>
    <w:rsid w:val="00AF36E0"/>
    <w:rsid w:val="00AF58EA"/>
    <w:rsid w:val="00AF5A24"/>
    <w:rsid w:val="00AF709E"/>
    <w:rsid w:val="00B06930"/>
    <w:rsid w:val="00B07E48"/>
    <w:rsid w:val="00B13B4C"/>
    <w:rsid w:val="00B1632B"/>
    <w:rsid w:val="00B16EF2"/>
    <w:rsid w:val="00B26EB0"/>
    <w:rsid w:val="00B36179"/>
    <w:rsid w:val="00B36F89"/>
    <w:rsid w:val="00B37015"/>
    <w:rsid w:val="00B42EC8"/>
    <w:rsid w:val="00B43585"/>
    <w:rsid w:val="00B46148"/>
    <w:rsid w:val="00B50E2E"/>
    <w:rsid w:val="00B52FB2"/>
    <w:rsid w:val="00B564CD"/>
    <w:rsid w:val="00B5767F"/>
    <w:rsid w:val="00B60505"/>
    <w:rsid w:val="00B60B01"/>
    <w:rsid w:val="00B66337"/>
    <w:rsid w:val="00B72BB0"/>
    <w:rsid w:val="00B75CA1"/>
    <w:rsid w:val="00B766B6"/>
    <w:rsid w:val="00B80A6E"/>
    <w:rsid w:val="00B83A86"/>
    <w:rsid w:val="00B85AB9"/>
    <w:rsid w:val="00BA27B7"/>
    <w:rsid w:val="00BA3EB8"/>
    <w:rsid w:val="00BB154C"/>
    <w:rsid w:val="00BB2E08"/>
    <w:rsid w:val="00BB35C1"/>
    <w:rsid w:val="00BB44AF"/>
    <w:rsid w:val="00BB510A"/>
    <w:rsid w:val="00BB6F5D"/>
    <w:rsid w:val="00BC23F8"/>
    <w:rsid w:val="00BC30CB"/>
    <w:rsid w:val="00BC459D"/>
    <w:rsid w:val="00BC765C"/>
    <w:rsid w:val="00BC7EF7"/>
    <w:rsid w:val="00BD05AE"/>
    <w:rsid w:val="00BD1B54"/>
    <w:rsid w:val="00BE394A"/>
    <w:rsid w:val="00BE4271"/>
    <w:rsid w:val="00BF4412"/>
    <w:rsid w:val="00C00BD3"/>
    <w:rsid w:val="00C01A0A"/>
    <w:rsid w:val="00C033D4"/>
    <w:rsid w:val="00C11B1B"/>
    <w:rsid w:val="00C20BF7"/>
    <w:rsid w:val="00C22154"/>
    <w:rsid w:val="00C24189"/>
    <w:rsid w:val="00C244B5"/>
    <w:rsid w:val="00C2538A"/>
    <w:rsid w:val="00C349A5"/>
    <w:rsid w:val="00C50AC8"/>
    <w:rsid w:val="00C5242F"/>
    <w:rsid w:val="00C53FD9"/>
    <w:rsid w:val="00C5484C"/>
    <w:rsid w:val="00C61727"/>
    <w:rsid w:val="00C62758"/>
    <w:rsid w:val="00C629CF"/>
    <w:rsid w:val="00C6366F"/>
    <w:rsid w:val="00C63F78"/>
    <w:rsid w:val="00C7140E"/>
    <w:rsid w:val="00C714C6"/>
    <w:rsid w:val="00C7214B"/>
    <w:rsid w:val="00C72630"/>
    <w:rsid w:val="00C7356D"/>
    <w:rsid w:val="00C74E2D"/>
    <w:rsid w:val="00C75B02"/>
    <w:rsid w:val="00C77F7F"/>
    <w:rsid w:val="00C8019E"/>
    <w:rsid w:val="00C91751"/>
    <w:rsid w:val="00C918F7"/>
    <w:rsid w:val="00C933F6"/>
    <w:rsid w:val="00C93D33"/>
    <w:rsid w:val="00C93D9F"/>
    <w:rsid w:val="00CA534A"/>
    <w:rsid w:val="00CB12CC"/>
    <w:rsid w:val="00CB33CA"/>
    <w:rsid w:val="00CC62B1"/>
    <w:rsid w:val="00CD5CD7"/>
    <w:rsid w:val="00CD7185"/>
    <w:rsid w:val="00CD74B5"/>
    <w:rsid w:val="00CE031B"/>
    <w:rsid w:val="00CE3E72"/>
    <w:rsid w:val="00CF032B"/>
    <w:rsid w:val="00CF307B"/>
    <w:rsid w:val="00CF3D8F"/>
    <w:rsid w:val="00D113EC"/>
    <w:rsid w:val="00D117EA"/>
    <w:rsid w:val="00D2238E"/>
    <w:rsid w:val="00D22559"/>
    <w:rsid w:val="00D22E75"/>
    <w:rsid w:val="00D32779"/>
    <w:rsid w:val="00D32B06"/>
    <w:rsid w:val="00D37766"/>
    <w:rsid w:val="00D40D65"/>
    <w:rsid w:val="00D421DC"/>
    <w:rsid w:val="00D42AB3"/>
    <w:rsid w:val="00D43F44"/>
    <w:rsid w:val="00D62165"/>
    <w:rsid w:val="00D62CAE"/>
    <w:rsid w:val="00D64150"/>
    <w:rsid w:val="00D66DFF"/>
    <w:rsid w:val="00D67D70"/>
    <w:rsid w:val="00D72092"/>
    <w:rsid w:val="00D72F7E"/>
    <w:rsid w:val="00D744F0"/>
    <w:rsid w:val="00D7543C"/>
    <w:rsid w:val="00D777CE"/>
    <w:rsid w:val="00D848E3"/>
    <w:rsid w:val="00D878AB"/>
    <w:rsid w:val="00D921CE"/>
    <w:rsid w:val="00D927F9"/>
    <w:rsid w:val="00D94ABD"/>
    <w:rsid w:val="00D97202"/>
    <w:rsid w:val="00DA4372"/>
    <w:rsid w:val="00DA45B8"/>
    <w:rsid w:val="00DB448F"/>
    <w:rsid w:val="00DB7A32"/>
    <w:rsid w:val="00DC06B6"/>
    <w:rsid w:val="00DC0A5B"/>
    <w:rsid w:val="00DC4FF4"/>
    <w:rsid w:val="00DD050D"/>
    <w:rsid w:val="00DD668C"/>
    <w:rsid w:val="00DD7D30"/>
    <w:rsid w:val="00DE06F8"/>
    <w:rsid w:val="00DE19F2"/>
    <w:rsid w:val="00DE359D"/>
    <w:rsid w:val="00DE3DF1"/>
    <w:rsid w:val="00DE4C2E"/>
    <w:rsid w:val="00DF32CA"/>
    <w:rsid w:val="00DF4117"/>
    <w:rsid w:val="00DF4229"/>
    <w:rsid w:val="00DF6772"/>
    <w:rsid w:val="00DF6878"/>
    <w:rsid w:val="00DF6B67"/>
    <w:rsid w:val="00E014FB"/>
    <w:rsid w:val="00E042BA"/>
    <w:rsid w:val="00E055DC"/>
    <w:rsid w:val="00E06C1B"/>
    <w:rsid w:val="00E079B5"/>
    <w:rsid w:val="00E116EA"/>
    <w:rsid w:val="00E11E1F"/>
    <w:rsid w:val="00E22267"/>
    <w:rsid w:val="00E25558"/>
    <w:rsid w:val="00E27339"/>
    <w:rsid w:val="00E30069"/>
    <w:rsid w:val="00E30D57"/>
    <w:rsid w:val="00E327EC"/>
    <w:rsid w:val="00E40BE5"/>
    <w:rsid w:val="00E41861"/>
    <w:rsid w:val="00E5147C"/>
    <w:rsid w:val="00E55DDD"/>
    <w:rsid w:val="00E56730"/>
    <w:rsid w:val="00E6447A"/>
    <w:rsid w:val="00E66531"/>
    <w:rsid w:val="00E67481"/>
    <w:rsid w:val="00E71B91"/>
    <w:rsid w:val="00E74E3E"/>
    <w:rsid w:val="00E771F1"/>
    <w:rsid w:val="00E80164"/>
    <w:rsid w:val="00E842D4"/>
    <w:rsid w:val="00E86F3F"/>
    <w:rsid w:val="00E94BD0"/>
    <w:rsid w:val="00E95436"/>
    <w:rsid w:val="00EA08C3"/>
    <w:rsid w:val="00EA11A6"/>
    <w:rsid w:val="00EA27FB"/>
    <w:rsid w:val="00EA292E"/>
    <w:rsid w:val="00EA3CC8"/>
    <w:rsid w:val="00EA4CF6"/>
    <w:rsid w:val="00EA5504"/>
    <w:rsid w:val="00EB09E4"/>
    <w:rsid w:val="00EB1CFE"/>
    <w:rsid w:val="00EB25C9"/>
    <w:rsid w:val="00EB42C2"/>
    <w:rsid w:val="00EC0349"/>
    <w:rsid w:val="00EC1FE3"/>
    <w:rsid w:val="00ED3D84"/>
    <w:rsid w:val="00ED5382"/>
    <w:rsid w:val="00EE0BDA"/>
    <w:rsid w:val="00EE7BA7"/>
    <w:rsid w:val="00EE7D5E"/>
    <w:rsid w:val="00EF4373"/>
    <w:rsid w:val="00EF4A32"/>
    <w:rsid w:val="00EF6311"/>
    <w:rsid w:val="00F01D0A"/>
    <w:rsid w:val="00F05246"/>
    <w:rsid w:val="00F05555"/>
    <w:rsid w:val="00F10117"/>
    <w:rsid w:val="00F156BA"/>
    <w:rsid w:val="00F16B73"/>
    <w:rsid w:val="00F20FEE"/>
    <w:rsid w:val="00F25FB4"/>
    <w:rsid w:val="00F32D90"/>
    <w:rsid w:val="00F32F65"/>
    <w:rsid w:val="00F3632A"/>
    <w:rsid w:val="00F36366"/>
    <w:rsid w:val="00F42045"/>
    <w:rsid w:val="00F458C2"/>
    <w:rsid w:val="00F46284"/>
    <w:rsid w:val="00F5497F"/>
    <w:rsid w:val="00F568BB"/>
    <w:rsid w:val="00F56CDC"/>
    <w:rsid w:val="00F62007"/>
    <w:rsid w:val="00F63A08"/>
    <w:rsid w:val="00F63AB2"/>
    <w:rsid w:val="00F63ECF"/>
    <w:rsid w:val="00F658CA"/>
    <w:rsid w:val="00F65DFA"/>
    <w:rsid w:val="00F73EEA"/>
    <w:rsid w:val="00F752A1"/>
    <w:rsid w:val="00F768E6"/>
    <w:rsid w:val="00F81573"/>
    <w:rsid w:val="00F82322"/>
    <w:rsid w:val="00F86C0D"/>
    <w:rsid w:val="00F95C7B"/>
    <w:rsid w:val="00F97095"/>
    <w:rsid w:val="00F976CB"/>
    <w:rsid w:val="00FA256A"/>
    <w:rsid w:val="00FA3B8E"/>
    <w:rsid w:val="00FA70DF"/>
    <w:rsid w:val="00FA7D14"/>
    <w:rsid w:val="00FB3EAA"/>
    <w:rsid w:val="00FB444D"/>
    <w:rsid w:val="00FC5063"/>
    <w:rsid w:val="00FC53F9"/>
    <w:rsid w:val="00FC73F5"/>
    <w:rsid w:val="00FD0DD9"/>
    <w:rsid w:val="00FD2581"/>
    <w:rsid w:val="00FD2E0D"/>
    <w:rsid w:val="00FE0F78"/>
    <w:rsid w:val="00FE5442"/>
    <w:rsid w:val="00FF23C2"/>
    <w:rsid w:val="00FF37E5"/>
    <w:rsid w:val="00FF4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A514B"/>
  <w15:chartTrackingRefBased/>
  <w15:docId w15:val="{A82581A9-3E1C-46BC-A466-199F3EADE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header" w:uiPriority="99"/>
    <w:lsdException w:name="caption" w:semiHidden="1" w:unhideWhenUsed="1" w:qFormat="1"/>
    <w:lsdException w:name="List Bullet"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4A42"/>
    <w:rPr>
      <w:sz w:val="24"/>
      <w:lang w:eastAsia="en-US"/>
    </w:rPr>
  </w:style>
  <w:style w:type="paragraph" w:styleId="Heading1">
    <w:name w:val="heading 1"/>
    <w:basedOn w:val="Normal"/>
    <w:next w:val="Normal"/>
    <w:qFormat/>
    <w:rsid w:val="00EA27F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A27F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CB12CC"/>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717BC2"/>
    <w:pPr>
      <w:keepNext/>
      <w:ind w:left="7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7BC2"/>
    <w:pPr>
      <w:jc w:val="center"/>
    </w:pPr>
    <w:rPr>
      <w:b/>
      <w:sz w:val="32"/>
      <w:lang w:val="en-US"/>
    </w:rPr>
  </w:style>
  <w:style w:type="paragraph" w:customStyle="1" w:styleId="DefaultText">
    <w:name w:val="Default Text"/>
    <w:basedOn w:val="Normal"/>
    <w:rsid w:val="00EA27FB"/>
  </w:style>
  <w:style w:type="paragraph" w:styleId="Footer">
    <w:name w:val="footer"/>
    <w:basedOn w:val="Normal"/>
    <w:link w:val="FooterChar"/>
    <w:rsid w:val="00EA27FB"/>
    <w:pPr>
      <w:tabs>
        <w:tab w:val="center" w:pos="4153"/>
        <w:tab w:val="right" w:pos="8306"/>
      </w:tabs>
    </w:pPr>
  </w:style>
  <w:style w:type="character" w:styleId="PageNumber">
    <w:name w:val="page number"/>
    <w:basedOn w:val="DefaultParagraphFont"/>
    <w:rsid w:val="00EA27FB"/>
  </w:style>
  <w:style w:type="paragraph" w:styleId="Header">
    <w:name w:val="header"/>
    <w:basedOn w:val="Normal"/>
    <w:link w:val="HeaderChar"/>
    <w:uiPriority w:val="99"/>
    <w:rsid w:val="00071040"/>
    <w:pPr>
      <w:tabs>
        <w:tab w:val="center" w:pos="4153"/>
        <w:tab w:val="right" w:pos="8306"/>
      </w:tabs>
    </w:pPr>
  </w:style>
  <w:style w:type="paragraph" w:customStyle="1" w:styleId="Default">
    <w:name w:val="Default"/>
    <w:rsid w:val="00A806C6"/>
    <w:pPr>
      <w:autoSpaceDE w:val="0"/>
      <w:autoSpaceDN w:val="0"/>
      <w:adjustRightInd w:val="0"/>
    </w:pPr>
    <w:rPr>
      <w:rFonts w:ascii="Verdana" w:hAnsi="Verdana" w:cs="Verdana"/>
      <w:color w:val="000000"/>
      <w:sz w:val="24"/>
      <w:szCs w:val="24"/>
    </w:rPr>
  </w:style>
  <w:style w:type="character" w:customStyle="1" w:styleId="FooterChar">
    <w:name w:val="Footer Char"/>
    <w:link w:val="Footer"/>
    <w:uiPriority w:val="99"/>
    <w:locked/>
    <w:rsid w:val="00A806C6"/>
    <w:rPr>
      <w:sz w:val="24"/>
      <w:lang w:val="en-GB" w:eastAsia="en-US" w:bidi="ar-SA"/>
    </w:rPr>
  </w:style>
  <w:style w:type="table" w:styleId="TableGrid">
    <w:name w:val="Table Grid"/>
    <w:basedOn w:val="TableNormal"/>
    <w:rsid w:val="00B42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777CE"/>
    <w:rPr>
      <w:rFonts w:ascii="Tahoma" w:hAnsi="Tahoma" w:cs="Tahoma"/>
      <w:sz w:val="16"/>
      <w:szCs w:val="16"/>
    </w:rPr>
  </w:style>
  <w:style w:type="character" w:customStyle="1" w:styleId="BalloonTextChar">
    <w:name w:val="Balloon Text Char"/>
    <w:link w:val="BalloonText"/>
    <w:rsid w:val="00D777CE"/>
    <w:rPr>
      <w:rFonts w:ascii="Tahoma" w:hAnsi="Tahoma" w:cs="Tahoma"/>
      <w:sz w:val="16"/>
      <w:szCs w:val="16"/>
      <w:lang w:eastAsia="en-US"/>
    </w:rPr>
  </w:style>
  <w:style w:type="character" w:customStyle="1" w:styleId="HeaderChar">
    <w:name w:val="Header Char"/>
    <w:link w:val="Header"/>
    <w:uiPriority w:val="99"/>
    <w:rsid w:val="00706F34"/>
    <w:rPr>
      <w:sz w:val="24"/>
      <w:lang w:eastAsia="en-US"/>
    </w:rPr>
  </w:style>
  <w:style w:type="paragraph" w:styleId="FootnoteText">
    <w:name w:val="footnote text"/>
    <w:basedOn w:val="Normal"/>
    <w:link w:val="FootnoteTextChar"/>
    <w:rsid w:val="002B57DC"/>
    <w:rPr>
      <w:sz w:val="20"/>
    </w:rPr>
  </w:style>
  <w:style w:type="character" w:customStyle="1" w:styleId="FootnoteTextChar">
    <w:name w:val="Footnote Text Char"/>
    <w:link w:val="FootnoteText"/>
    <w:rsid w:val="002B57DC"/>
    <w:rPr>
      <w:lang w:eastAsia="en-US"/>
    </w:rPr>
  </w:style>
  <w:style w:type="character" w:styleId="FootnoteReference">
    <w:name w:val="footnote reference"/>
    <w:rsid w:val="002B57DC"/>
    <w:rPr>
      <w:vertAlign w:val="superscript"/>
    </w:rPr>
  </w:style>
  <w:style w:type="character" w:styleId="Hyperlink">
    <w:name w:val="Hyperlink"/>
    <w:uiPriority w:val="99"/>
    <w:rsid w:val="002B57DC"/>
    <w:rPr>
      <w:color w:val="0000FF"/>
      <w:u w:val="single"/>
    </w:rPr>
  </w:style>
  <w:style w:type="character" w:customStyle="1" w:styleId="Heading3Char">
    <w:name w:val="Heading 3 Char"/>
    <w:link w:val="Heading3"/>
    <w:semiHidden/>
    <w:rsid w:val="00CB12CC"/>
    <w:rPr>
      <w:rFonts w:ascii="Calibri Light" w:eastAsia="Times New Roman" w:hAnsi="Calibri Light" w:cs="Times New Roman"/>
      <w:b/>
      <w:bCs/>
      <w:sz w:val="26"/>
      <w:szCs w:val="26"/>
      <w:lang w:eastAsia="en-US"/>
    </w:rPr>
  </w:style>
  <w:style w:type="paragraph" w:styleId="BodyText2">
    <w:name w:val="Body Text 2"/>
    <w:basedOn w:val="Normal"/>
    <w:link w:val="BodyText2Char"/>
    <w:rsid w:val="00CB12CC"/>
    <w:pPr>
      <w:jc w:val="both"/>
    </w:pPr>
    <w:rPr>
      <w:i/>
      <w:iCs/>
      <w:szCs w:val="24"/>
      <w:lang w:val="en-US"/>
    </w:rPr>
  </w:style>
  <w:style w:type="character" w:customStyle="1" w:styleId="BodyText2Char">
    <w:name w:val="Body Text 2 Char"/>
    <w:link w:val="BodyText2"/>
    <w:rsid w:val="00CB12CC"/>
    <w:rPr>
      <w:i/>
      <w:iCs/>
      <w:sz w:val="24"/>
      <w:szCs w:val="24"/>
      <w:lang w:val="en-US" w:eastAsia="en-US"/>
    </w:rPr>
  </w:style>
  <w:style w:type="paragraph" w:styleId="EndnoteText">
    <w:name w:val="endnote text"/>
    <w:basedOn w:val="Normal"/>
    <w:link w:val="EndnoteTextChar"/>
    <w:rsid w:val="00402BC2"/>
    <w:rPr>
      <w:sz w:val="20"/>
    </w:rPr>
  </w:style>
  <w:style w:type="character" w:customStyle="1" w:styleId="EndnoteTextChar">
    <w:name w:val="Endnote Text Char"/>
    <w:link w:val="EndnoteText"/>
    <w:rsid w:val="00402BC2"/>
    <w:rPr>
      <w:lang w:eastAsia="en-US"/>
    </w:rPr>
  </w:style>
  <w:style w:type="character" w:styleId="EndnoteReference">
    <w:name w:val="endnote reference"/>
    <w:rsid w:val="00402BC2"/>
    <w:rPr>
      <w:vertAlign w:val="superscript"/>
    </w:rPr>
  </w:style>
  <w:style w:type="character" w:styleId="UnresolvedMention">
    <w:name w:val="Unresolved Mention"/>
    <w:uiPriority w:val="99"/>
    <w:semiHidden/>
    <w:unhideWhenUsed/>
    <w:rsid w:val="00C7140E"/>
    <w:rPr>
      <w:color w:val="605E5C"/>
      <w:shd w:val="clear" w:color="auto" w:fill="E1DFDD"/>
    </w:rPr>
  </w:style>
  <w:style w:type="character" w:styleId="CommentReference">
    <w:name w:val="annotation reference"/>
    <w:rsid w:val="006301AA"/>
    <w:rPr>
      <w:sz w:val="16"/>
      <w:szCs w:val="16"/>
    </w:rPr>
  </w:style>
  <w:style w:type="paragraph" w:styleId="CommentText">
    <w:name w:val="annotation text"/>
    <w:basedOn w:val="Normal"/>
    <w:link w:val="CommentTextChar"/>
    <w:rsid w:val="006301AA"/>
    <w:rPr>
      <w:sz w:val="20"/>
    </w:rPr>
  </w:style>
  <w:style w:type="character" w:customStyle="1" w:styleId="CommentTextChar">
    <w:name w:val="Comment Text Char"/>
    <w:link w:val="CommentText"/>
    <w:rsid w:val="006301AA"/>
    <w:rPr>
      <w:lang w:eastAsia="en-US"/>
    </w:rPr>
  </w:style>
  <w:style w:type="paragraph" w:styleId="CommentSubject">
    <w:name w:val="annotation subject"/>
    <w:basedOn w:val="CommentText"/>
    <w:next w:val="CommentText"/>
    <w:link w:val="CommentSubjectChar"/>
    <w:rsid w:val="006301AA"/>
    <w:rPr>
      <w:b/>
      <w:bCs/>
    </w:rPr>
  </w:style>
  <w:style w:type="character" w:customStyle="1" w:styleId="CommentSubjectChar">
    <w:name w:val="Comment Subject Char"/>
    <w:link w:val="CommentSubject"/>
    <w:rsid w:val="006301AA"/>
    <w:rPr>
      <w:b/>
      <w:bCs/>
      <w:lang w:eastAsia="en-US"/>
    </w:rPr>
  </w:style>
  <w:style w:type="paragraph" w:styleId="ListParagraph">
    <w:name w:val="List Paragraph"/>
    <w:basedOn w:val="Normal"/>
    <w:uiPriority w:val="34"/>
    <w:qFormat/>
    <w:rsid w:val="005E482C"/>
    <w:pPr>
      <w:spacing w:after="200"/>
      <w:ind w:left="720"/>
      <w:contextualSpacing/>
      <w:jc w:val="both"/>
    </w:pPr>
    <w:rPr>
      <w:szCs w:val="24"/>
      <w:lang w:eastAsia="en-GB"/>
    </w:rPr>
  </w:style>
  <w:style w:type="character" w:styleId="Strong">
    <w:name w:val="Strong"/>
    <w:uiPriority w:val="22"/>
    <w:qFormat/>
    <w:rsid w:val="005E482C"/>
    <w:rPr>
      <w:b/>
      <w:bCs/>
    </w:rPr>
  </w:style>
  <w:style w:type="paragraph" w:styleId="NormalWeb">
    <w:name w:val="Normal (Web)"/>
    <w:basedOn w:val="Normal"/>
    <w:uiPriority w:val="99"/>
    <w:unhideWhenUsed/>
    <w:rsid w:val="005E482C"/>
    <w:pPr>
      <w:spacing w:before="100" w:beforeAutospacing="1" w:after="100" w:afterAutospacing="1"/>
    </w:pPr>
    <w:rPr>
      <w:szCs w:val="24"/>
      <w:lang w:val="en-US"/>
    </w:rPr>
  </w:style>
  <w:style w:type="character" w:styleId="FollowedHyperlink">
    <w:name w:val="FollowedHyperlink"/>
    <w:rsid w:val="00AC3072"/>
    <w:rPr>
      <w:color w:val="954F72"/>
      <w:u w:val="single"/>
    </w:rPr>
  </w:style>
  <w:style w:type="paragraph" w:styleId="TOCHeading">
    <w:name w:val="TOC Heading"/>
    <w:basedOn w:val="Heading1"/>
    <w:next w:val="Normal"/>
    <w:uiPriority w:val="39"/>
    <w:unhideWhenUsed/>
    <w:qFormat/>
    <w:rsid w:val="004522DD"/>
    <w:pPr>
      <w:keepLines/>
      <w:spacing w:after="0" w:line="259" w:lineRule="auto"/>
      <w:outlineLvl w:val="9"/>
    </w:pPr>
    <w:rPr>
      <w:rFonts w:ascii="Calibri Light" w:hAnsi="Calibri Light" w:cs="Times New Roman"/>
      <w:b w:val="0"/>
      <w:bCs w:val="0"/>
      <w:color w:val="2F5496"/>
      <w:kern w:val="0"/>
      <w:lang w:val="en-US"/>
    </w:rPr>
  </w:style>
  <w:style w:type="paragraph" w:styleId="TOC1">
    <w:name w:val="toc 1"/>
    <w:basedOn w:val="Normal"/>
    <w:next w:val="Normal"/>
    <w:autoRedefine/>
    <w:uiPriority w:val="39"/>
    <w:qFormat/>
    <w:rsid w:val="000F438F"/>
    <w:pPr>
      <w:tabs>
        <w:tab w:val="left" w:pos="284"/>
        <w:tab w:val="right" w:leader="dot" w:pos="8931"/>
      </w:tabs>
      <w:spacing w:after="240"/>
      <w:ind w:right="-613"/>
    </w:pPr>
    <w:rPr>
      <w:kern w:val="36"/>
      <w:sz w:val="28"/>
      <w:szCs w:val="28"/>
      <w:lang w:eastAsia="en-GB"/>
    </w:rPr>
  </w:style>
  <w:style w:type="paragraph" w:styleId="TOC2">
    <w:name w:val="toc 2"/>
    <w:basedOn w:val="Normal"/>
    <w:next w:val="Normal"/>
    <w:autoRedefine/>
    <w:uiPriority w:val="39"/>
    <w:qFormat/>
    <w:rsid w:val="004522DD"/>
    <w:pPr>
      <w:ind w:left="240"/>
    </w:pPr>
  </w:style>
  <w:style w:type="paragraph" w:styleId="TOC3">
    <w:name w:val="toc 3"/>
    <w:basedOn w:val="Normal"/>
    <w:next w:val="Normal"/>
    <w:autoRedefine/>
    <w:uiPriority w:val="39"/>
    <w:rsid w:val="004522DD"/>
    <w:pPr>
      <w:ind w:left="480"/>
    </w:pPr>
  </w:style>
  <w:style w:type="character" w:styleId="BookTitle">
    <w:name w:val="Book Title"/>
    <w:uiPriority w:val="33"/>
    <w:qFormat/>
    <w:rsid w:val="0088337D"/>
    <w:rPr>
      <w:rFonts w:ascii="Cambria" w:eastAsia="Times New Roman" w:hAnsi="Cambria" w:cs="Times New Roman"/>
      <w:b/>
      <w:bCs/>
      <w:i/>
      <w:iCs/>
      <w:color w:val="auto"/>
    </w:rPr>
  </w:style>
  <w:style w:type="character" w:styleId="Emphasis">
    <w:name w:val="Emphasis"/>
    <w:uiPriority w:val="20"/>
    <w:qFormat/>
    <w:rsid w:val="001C0C46"/>
    <w:rPr>
      <w:i/>
      <w:iCs/>
    </w:rPr>
  </w:style>
  <w:style w:type="character" w:customStyle="1" w:styleId="Heading4Char">
    <w:name w:val="Heading 4 Char"/>
    <w:link w:val="Heading4"/>
    <w:rsid w:val="0033387E"/>
    <w:rPr>
      <w:b/>
      <w:bCs/>
      <w:sz w:val="24"/>
      <w:lang w:eastAsia="en-US"/>
    </w:rPr>
  </w:style>
  <w:style w:type="paragraph" w:styleId="Revision">
    <w:name w:val="Revision"/>
    <w:hidden/>
    <w:uiPriority w:val="99"/>
    <w:semiHidden/>
    <w:rsid w:val="006D08B3"/>
    <w:rPr>
      <w:sz w:val="24"/>
      <w:lang w:eastAsia="en-US"/>
    </w:rPr>
  </w:style>
  <w:style w:type="paragraph" w:styleId="ListBullet">
    <w:name w:val="List Bullet"/>
    <w:basedOn w:val="Normal"/>
    <w:uiPriority w:val="99"/>
    <w:unhideWhenUsed/>
    <w:rsid w:val="00FA7D14"/>
    <w:pPr>
      <w:numPr>
        <w:numId w:val="36"/>
      </w:numPr>
      <w:spacing w:after="200" w:line="276" w:lineRule="auto"/>
      <w:contextualSpacing/>
    </w:pPr>
    <w:rPr>
      <w:rFonts w:ascii="Cambria" w:eastAsia="MS Mincho" w:hAnsi="Cambria"/>
      <w:sz w:val="22"/>
      <w:szCs w:val="22"/>
      <w:lang w:val="en-US"/>
    </w:rPr>
  </w:style>
  <w:style w:type="paragraph" w:styleId="Subtitle">
    <w:name w:val="Subtitle"/>
    <w:basedOn w:val="Normal"/>
    <w:next w:val="Normal"/>
    <w:link w:val="SubtitleChar"/>
    <w:qFormat/>
    <w:rsid w:val="008806D5"/>
    <w:pPr>
      <w:spacing w:after="60"/>
      <w:jc w:val="center"/>
      <w:outlineLvl w:val="1"/>
    </w:pPr>
    <w:rPr>
      <w:rFonts w:ascii="Aptos Display" w:hAnsi="Aptos Display"/>
      <w:szCs w:val="24"/>
    </w:rPr>
  </w:style>
  <w:style w:type="character" w:customStyle="1" w:styleId="SubtitleChar">
    <w:name w:val="Subtitle Char"/>
    <w:link w:val="Subtitle"/>
    <w:rsid w:val="008806D5"/>
    <w:rPr>
      <w:rFonts w:ascii="Aptos Display" w:eastAsia="Times New Roman" w:hAnsi="Aptos Display"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27524">
      <w:bodyDiv w:val="1"/>
      <w:marLeft w:val="0"/>
      <w:marRight w:val="0"/>
      <w:marTop w:val="0"/>
      <w:marBottom w:val="0"/>
      <w:divBdr>
        <w:top w:val="none" w:sz="0" w:space="0" w:color="auto"/>
        <w:left w:val="none" w:sz="0" w:space="0" w:color="auto"/>
        <w:bottom w:val="none" w:sz="0" w:space="0" w:color="auto"/>
        <w:right w:val="none" w:sz="0" w:space="0" w:color="auto"/>
      </w:divBdr>
    </w:div>
    <w:div w:id="247735107">
      <w:bodyDiv w:val="1"/>
      <w:marLeft w:val="0"/>
      <w:marRight w:val="0"/>
      <w:marTop w:val="0"/>
      <w:marBottom w:val="0"/>
      <w:divBdr>
        <w:top w:val="none" w:sz="0" w:space="0" w:color="auto"/>
        <w:left w:val="none" w:sz="0" w:space="0" w:color="auto"/>
        <w:bottom w:val="none" w:sz="0" w:space="0" w:color="auto"/>
        <w:right w:val="none" w:sz="0" w:space="0" w:color="auto"/>
      </w:divBdr>
    </w:div>
    <w:div w:id="321127713">
      <w:bodyDiv w:val="1"/>
      <w:marLeft w:val="0"/>
      <w:marRight w:val="0"/>
      <w:marTop w:val="0"/>
      <w:marBottom w:val="0"/>
      <w:divBdr>
        <w:top w:val="none" w:sz="0" w:space="0" w:color="auto"/>
        <w:left w:val="none" w:sz="0" w:space="0" w:color="auto"/>
        <w:bottom w:val="none" w:sz="0" w:space="0" w:color="auto"/>
        <w:right w:val="none" w:sz="0" w:space="0" w:color="auto"/>
      </w:divBdr>
    </w:div>
    <w:div w:id="1340889469">
      <w:bodyDiv w:val="1"/>
      <w:marLeft w:val="0"/>
      <w:marRight w:val="0"/>
      <w:marTop w:val="0"/>
      <w:marBottom w:val="0"/>
      <w:divBdr>
        <w:top w:val="none" w:sz="0" w:space="0" w:color="auto"/>
        <w:left w:val="none" w:sz="0" w:space="0" w:color="auto"/>
        <w:bottom w:val="none" w:sz="0" w:space="0" w:color="auto"/>
        <w:right w:val="none" w:sz="0" w:space="0" w:color="auto"/>
      </w:divBdr>
    </w:div>
    <w:div w:id="1443911965">
      <w:bodyDiv w:val="1"/>
      <w:marLeft w:val="0"/>
      <w:marRight w:val="0"/>
      <w:marTop w:val="0"/>
      <w:marBottom w:val="0"/>
      <w:divBdr>
        <w:top w:val="none" w:sz="0" w:space="0" w:color="auto"/>
        <w:left w:val="none" w:sz="0" w:space="0" w:color="auto"/>
        <w:bottom w:val="none" w:sz="0" w:space="0" w:color="auto"/>
        <w:right w:val="none" w:sz="0" w:space="0" w:color="auto"/>
      </w:divBdr>
    </w:div>
    <w:div w:id="1499078013">
      <w:bodyDiv w:val="1"/>
      <w:marLeft w:val="0"/>
      <w:marRight w:val="0"/>
      <w:marTop w:val="0"/>
      <w:marBottom w:val="0"/>
      <w:divBdr>
        <w:top w:val="none" w:sz="0" w:space="0" w:color="auto"/>
        <w:left w:val="none" w:sz="0" w:space="0" w:color="auto"/>
        <w:bottom w:val="none" w:sz="0" w:space="0" w:color="auto"/>
        <w:right w:val="none" w:sz="0" w:space="0" w:color="auto"/>
      </w:divBdr>
      <w:divsChild>
        <w:div w:id="2032879860">
          <w:marLeft w:val="0"/>
          <w:marRight w:val="0"/>
          <w:marTop w:val="0"/>
          <w:marBottom w:val="0"/>
          <w:divBdr>
            <w:top w:val="none" w:sz="0" w:space="0" w:color="auto"/>
            <w:left w:val="none" w:sz="0" w:space="0" w:color="auto"/>
            <w:bottom w:val="none" w:sz="0" w:space="0" w:color="auto"/>
            <w:right w:val="none" w:sz="0" w:space="0" w:color="auto"/>
          </w:divBdr>
        </w:div>
      </w:divsChild>
    </w:div>
    <w:div w:id="1863547347">
      <w:bodyDiv w:val="1"/>
      <w:marLeft w:val="0"/>
      <w:marRight w:val="0"/>
      <w:marTop w:val="0"/>
      <w:marBottom w:val="0"/>
      <w:divBdr>
        <w:top w:val="none" w:sz="0" w:space="0" w:color="auto"/>
        <w:left w:val="none" w:sz="0" w:space="0" w:color="auto"/>
        <w:bottom w:val="none" w:sz="0" w:space="0" w:color="auto"/>
        <w:right w:val="none" w:sz="0" w:space="0" w:color="auto"/>
      </w:divBdr>
      <w:divsChild>
        <w:div w:id="1226799983">
          <w:marLeft w:val="0"/>
          <w:marRight w:val="0"/>
          <w:marTop w:val="0"/>
          <w:marBottom w:val="0"/>
          <w:divBdr>
            <w:top w:val="none" w:sz="0" w:space="0" w:color="auto"/>
            <w:left w:val="none" w:sz="0" w:space="0" w:color="auto"/>
            <w:bottom w:val="none" w:sz="0" w:space="0" w:color="auto"/>
            <w:right w:val="none" w:sz="0" w:space="0" w:color="auto"/>
          </w:divBdr>
        </w:div>
      </w:divsChild>
    </w:div>
    <w:div w:id="198377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documents/regulatory-procedural-guideline/guideline-good-pharmacovigilance-practices-gvp-module-vi-collection-management-submission-reports-suspected-adverse-reactions-medicinal-products-rev-2_en.pdf" TargetMode="External"/><Relationship Id="rId18" Type="http://schemas.openxmlformats.org/officeDocument/2006/relationships/hyperlink" Target="https://eur-lex.europa.eu/LexUriServ/LexUriServ.do?uri=OJ:L:2001:311:0067:0128:en:PDF" TargetMode="External"/><Relationship Id="rId26" Type="http://schemas.openxmlformats.org/officeDocument/2006/relationships/hyperlink" Target="https://medicinesauthority.gov.mt/adrportal" TargetMode="External"/><Relationship Id="rId21" Type="http://schemas.openxmlformats.org/officeDocument/2006/relationships/hyperlink" Target="https://eur-lex.europa.eu/LexUriServ/LexUriServ.do?uri=OJ:L:2012:159:0005:0025:EN:PDF"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eur-lex.europa.eu/legal-content/en/ALL/?uri=CELEX%3A32001L0083" TargetMode="External"/><Relationship Id="rId17" Type="http://schemas.openxmlformats.org/officeDocument/2006/relationships/hyperlink" Target="https://eur-lex.europa.eu/legal-content/en/ALL/?uri=CELEX%3A32001L0083" TargetMode="External"/><Relationship Id="rId25" Type="http://schemas.openxmlformats.org/officeDocument/2006/relationships/hyperlink" Target="mailto:postlicensing.medicinesauthority@gov.mt"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ur-lex.europa.eu/legal-content/en/ALL/?uri=CELEX%3A32001L0083" TargetMode="External"/><Relationship Id="rId20" Type="http://schemas.openxmlformats.org/officeDocument/2006/relationships/hyperlink" Target="https://eur-lex.europa.eu/legal-content/EN/TXT/?uri=celex%3A32012L0026" TargetMode="External"/><Relationship Id="rId29" Type="http://schemas.openxmlformats.org/officeDocument/2006/relationships/hyperlink" Target="https://medicinesauthority.gov.mt/rm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medicinesauthority.gov.mt/adrportal"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lex.europa.eu/legal-content/en/ALL/?uri=CELEX%3A32001L0083" TargetMode="External"/><Relationship Id="rId23" Type="http://schemas.openxmlformats.org/officeDocument/2006/relationships/image" Target="media/image2.png"/><Relationship Id="rId28" Type="http://schemas.openxmlformats.org/officeDocument/2006/relationships/hyperlink" Target="https://medicinesauthority.gov.mt/dhpc"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ur-lex.europa.eu/legal-content/EN/TXT/?uri=celex%3A32010L0084" TargetMode="External"/><Relationship Id="rId31" Type="http://schemas.openxmlformats.org/officeDocument/2006/relationships/hyperlink" Target="https://www.ncbi.nlm.nih.gov/pmc/articles/PMC69117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en/human-regulatory/post-authorisation/pharmacovigilance/medication-errors" TargetMode="External"/><Relationship Id="rId22" Type="http://schemas.openxmlformats.org/officeDocument/2006/relationships/hyperlink" Target="https://legislation.mt/eli/sl/458.35/eng" TargetMode="External"/><Relationship Id="rId27" Type="http://schemas.openxmlformats.org/officeDocument/2006/relationships/hyperlink" Target="https://medicinesauthority.gov.mt/safetycirculars" TargetMode="External"/><Relationship Id="rId30" Type="http://schemas.openxmlformats.org/officeDocument/2006/relationships/hyperlink" Target="mailto:postlicensing.medicinesauthority@gov.mt"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a06debe-84f2-46f3-9c50-145bbbadb6e8" xsi:nil="true"/>
    <lcf76f155ced4ddcb4097134ff3c332f xmlns="57fc8720-7919-43c9-9db5-42d8443db7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D10706B3DD5E4FBB4F999DCC8091B1" ma:contentTypeVersion="17" ma:contentTypeDescription="Create a new document." ma:contentTypeScope="" ma:versionID="f8fc682cd78346df085425f24b19f7c1">
  <xsd:schema xmlns:xsd="http://www.w3.org/2001/XMLSchema" xmlns:xs="http://www.w3.org/2001/XMLSchema" xmlns:p="http://schemas.microsoft.com/office/2006/metadata/properties" xmlns:ns2="57fc8720-7919-43c9-9db5-42d8443db725" xmlns:ns3="ea06debe-84f2-46f3-9c50-145bbbadb6e8" targetNamespace="http://schemas.microsoft.com/office/2006/metadata/properties" ma:root="true" ma:fieldsID="b239fdd32fa53b6772616d3c5b4e3e7c" ns2:_="" ns3:_="">
    <xsd:import namespace="57fc8720-7919-43c9-9db5-42d8443db725"/>
    <xsd:import namespace="ea06debe-84f2-46f3-9c50-145bbbadb6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c8720-7919-43c9-9db5-42d8443db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858473a-97ee-428e-a817-eb9457ba025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06debe-84f2-46f3-9c50-145bbbadb6e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e17953d-26b1-4109-b81f-a586810415a1}" ma:internalName="TaxCatchAll" ma:showField="CatchAllData" ma:web="ea06debe-84f2-46f3-9c50-145bbbadb6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EC5776-A2A6-471D-B78D-4224892DE157}">
  <ds:schemaRefs>
    <ds:schemaRef ds:uri="http://schemas.openxmlformats.org/officeDocument/2006/bibliography"/>
  </ds:schemaRefs>
</ds:datastoreItem>
</file>

<file path=customXml/itemProps2.xml><?xml version="1.0" encoding="utf-8"?>
<ds:datastoreItem xmlns:ds="http://schemas.openxmlformats.org/officeDocument/2006/customXml" ds:itemID="{9262BA64-E06C-47D0-AA32-67BF40F9FBCA}">
  <ds:schemaRefs>
    <ds:schemaRef ds:uri="http://schemas.microsoft.com/office/2006/metadata/properties"/>
    <ds:schemaRef ds:uri="http://schemas.microsoft.com/office/infopath/2007/PartnerControls"/>
    <ds:schemaRef ds:uri="ea06debe-84f2-46f3-9c50-145bbbadb6e8"/>
    <ds:schemaRef ds:uri="57fc8720-7919-43c9-9db5-42d8443db725"/>
  </ds:schemaRefs>
</ds:datastoreItem>
</file>

<file path=customXml/itemProps3.xml><?xml version="1.0" encoding="utf-8"?>
<ds:datastoreItem xmlns:ds="http://schemas.openxmlformats.org/officeDocument/2006/customXml" ds:itemID="{195C87B8-59F2-4217-9FDB-3D19F01D8FFF}">
  <ds:schemaRefs>
    <ds:schemaRef ds:uri="http://schemas.microsoft.com/sharepoint/v3/contenttype/forms"/>
  </ds:schemaRefs>
</ds:datastoreItem>
</file>

<file path=customXml/itemProps4.xml><?xml version="1.0" encoding="utf-8"?>
<ds:datastoreItem xmlns:ds="http://schemas.openxmlformats.org/officeDocument/2006/customXml" ds:itemID="{27178DDF-A9AE-442A-960A-38B872011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c8720-7919-43c9-9db5-42d8443db725"/>
    <ds:schemaRef ds:uri="ea06debe-84f2-46f3-9c50-145bbbadb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4334</Words>
  <Characters>24707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Appendix 2</vt:lpstr>
    </vt:vector>
  </TitlesOfParts>
  <Company>Government of Malta</Company>
  <LinksUpToDate>false</LinksUpToDate>
  <CharactersWithSpaces>28984</CharactersWithSpaces>
  <SharedDoc>false</SharedDoc>
  <HLinks>
    <vt:vector size="180" baseType="variant">
      <vt:variant>
        <vt:i4>1900619</vt:i4>
      </vt:variant>
      <vt:variant>
        <vt:i4>126</vt:i4>
      </vt:variant>
      <vt:variant>
        <vt:i4>0</vt:i4>
      </vt:variant>
      <vt:variant>
        <vt:i4>5</vt:i4>
      </vt:variant>
      <vt:variant>
        <vt:lpwstr>https://www.ncbi.nlm.nih.gov/pmc/articles/PMC6911719/</vt:lpwstr>
      </vt:variant>
      <vt:variant>
        <vt:lpwstr/>
      </vt:variant>
      <vt:variant>
        <vt:i4>1507448</vt:i4>
      </vt:variant>
      <vt:variant>
        <vt:i4>123</vt:i4>
      </vt:variant>
      <vt:variant>
        <vt:i4>0</vt:i4>
      </vt:variant>
      <vt:variant>
        <vt:i4>5</vt:i4>
      </vt:variant>
      <vt:variant>
        <vt:lpwstr>mailto:postlicensing.medicinesauthority@gov.mt</vt:lpwstr>
      </vt:variant>
      <vt:variant>
        <vt:lpwstr/>
      </vt:variant>
      <vt:variant>
        <vt:i4>4522053</vt:i4>
      </vt:variant>
      <vt:variant>
        <vt:i4>120</vt:i4>
      </vt:variant>
      <vt:variant>
        <vt:i4>0</vt:i4>
      </vt:variant>
      <vt:variant>
        <vt:i4>5</vt:i4>
      </vt:variant>
      <vt:variant>
        <vt:lpwstr>https://medicinesauthority.gov.mt/rmm</vt:lpwstr>
      </vt:variant>
      <vt:variant>
        <vt:lpwstr/>
      </vt:variant>
      <vt:variant>
        <vt:i4>2293795</vt:i4>
      </vt:variant>
      <vt:variant>
        <vt:i4>117</vt:i4>
      </vt:variant>
      <vt:variant>
        <vt:i4>0</vt:i4>
      </vt:variant>
      <vt:variant>
        <vt:i4>5</vt:i4>
      </vt:variant>
      <vt:variant>
        <vt:lpwstr>https://medicinesauthority.gov.mt/dhpc</vt:lpwstr>
      </vt:variant>
      <vt:variant>
        <vt:lpwstr/>
      </vt:variant>
      <vt:variant>
        <vt:i4>4259923</vt:i4>
      </vt:variant>
      <vt:variant>
        <vt:i4>114</vt:i4>
      </vt:variant>
      <vt:variant>
        <vt:i4>0</vt:i4>
      </vt:variant>
      <vt:variant>
        <vt:i4>5</vt:i4>
      </vt:variant>
      <vt:variant>
        <vt:lpwstr>https://medicinesauthority.gov.mt/safetycirculars</vt:lpwstr>
      </vt:variant>
      <vt:variant>
        <vt:lpwstr/>
      </vt:variant>
      <vt:variant>
        <vt:i4>3080255</vt:i4>
      </vt:variant>
      <vt:variant>
        <vt:i4>111</vt:i4>
      </vt:variant>
      <vt:variant>
        <vt:i4>0</vt:i4>
      </vt:variant>
      <vt:variant>
        <vt:i4>5</vt:i4>
      </vt:variant>
      <vt:variant>
        <vt:lpwstr>https://medicinesauthority.gov.mt/adrportal</vt:lpwstr>
      </vt:variant>
      <vt:variant>
        <vt:lpwstr/>
      </vt:variant>
      <vt:variant>
        <vt:i4>1507448</vt:i4>
      </vt:variant>
      <vt:variant>
        <vt:i4>108</vt:i4>
      </vt:variant>
      <vt:variant>
        <vt:i4>0</vt:i4>
      </vt:variant>
      <vt:variant>
        <vt:i4>5</vt:i4>
      </vt:variant>
      <vt:variant>
        <vt:lpwstr>mailto:postlicensing.medicinesauthority@gov.mt</vt:lpwstr>
      </vt:variant>
      <vt:variant>
        <vt:lpwstr/>
      </vt:variant>
      <vt:variant>
        <vt:i4>3080255</vt:i4>
      </vt:variant>
      <vt:variant>
        <vt:i4>105</vt:i4>
      </vt:variant>
      <vt:variant>
        <vt:i4>0</vt:i4>
      </vt:variant>
      <vt:variant>
        <vt:i4>5</vt:i4>
      </vt:variant>
      <vt:variant>
        <vt:lpwstr>https://medicinesauthority.gov.mt/adrportal</vt:lpwstr>
      </vt:variant>
      <vt:variant>
        <vt:lpwstr/>
      </vt:variant>
      <vt:variant>
        <vt:i4>4980813</vt:i4>
      </vt:variant>
      <vt:variant>
        <vt:i4>99</vt:i4>
      </vt:variant>
      <vt:variant>
        <vt:i4>0</vt:i4>
      </vt:variant>
      <vt:variant>
        <vt:i4>5</vt:i4>
      </vt:variant>
      <vt:variant>
        <vt:lpwstr>https://legislation.mt/eli/sl/458.35/eng</vt:lpwstr>
      </vt:variant>
      <vt:variant>
        <vt:lpwstr/>
      </vt:variant>
      <vt:variant>
        <vt:i4>131162</vt:i4>
      </vt:variant>
      <vt:variant>
        <vt:i4>96</vt:i4>
      </vt:variant>
      <vt:variant>
        <vt:i4>0</vt:i4>
      </vt:variant>
      <vt:variant>
        <vt:i4>5</vt:i4>
      </vt:variant>
      <vt:variant>
        <vt:lpwstr>https://eur-lex.europa.eu/LexUriServ/LexUriServ.do?uri=OJ:L:2012:159:0005:0025:EN:PDF</vt:lpwstr>
      </vt:variant>
      <vt:variant>
        <vt:lpwstr/>
      </vt:variant>
      <vt:variant>
        <vt:i4>7536754</vt:i4>
      </vt:variant>
      <vt:variant>
        <vt:i4>93</vt:i4>
      </vt:variant>
      <vt:variant>
        <vt:i4>0</vt:i4>
      </vt:variant>
      <vt:variant>
        <vt:i4>5</vt:i4>
      </vt:variant>
      <vt:variant>
        <vt:lpwstr>https://eur-lex.europa.eu/legal-content/EN/TXT/?uri=celex%3A32012L0026</vt:lpwstr>
      </vt:variant>
      <vt:variant>
        <vt:lpwstr/>
      </vt:variant>
      <vt:variant>
        <vt:i4>7405690</vt:i4>
      </vt:variant>
      <vt:variant>
        <vt:i4>90</vt:i4>
      </vt:variant>
      <vt:variant>
        <vt:i4>0</vt:i4>
      </vt:variant>
      <vt:variant>
        <vt:i4>5</vt:i4>
      </vt:variant>
      <vt:variant>
        <vt:lpwstr>https://eur-lex.europa.eu/legal-content/EN/TXT/?uri=celex%3A32010L0084</vt:lpwstr>
      </vt:variant>
      <vt:variant>
        <vt:lpwstr/>
      </vt:variant>
      <vt:variant>
        <vt:i4>65629</vt:i4>
      </vt:variant>
      <vt:variant>
        <vt:i4>87</vt:i4>
      </vt:variant>
      <vt:variant>
        <vt:i4>0</vt:i4>
      </vt:variant>
      <vt:variant>
        <vt:i4>5</vt:i4>
      </vt:variant>
      <vt:variant>
        <vt:lpwstr>https://eur-lex.europa.eu/LexUriServ/LexUriServ.do?uri=OJ:L:2001:311:0067:0128:en:PDF</vt:lpwstr>
      </vt:variant>
      <vt:variant>
        <vt:lpwstr/>
      </vt:variant>
      <vt:variant>
        <vt:i4>7995503</vt:i4>
      </vt:variant>
      <vt:variant>
        <vt:i4>84</vt:i4>
      </vt:variant>
      <vt:variant>
        <vt:i4>0</vt:i4>
      </vt:variant>
      <vt:variant>
        <vt:i4>5</vt:i4>
      </vt:variant>
      <vt:variant>
        <vt:lpwstr>https://eur-lex.europa.eu/legal-content/en/ALL/?uri=CELEX%3A32001L0083</vt:lpwstr>
      </vt:variant>
      <vt:variant>
        <vt:lpwstr/>
      </vt:variant>
      <vt:variant>
        <vt:i4>7995503</vt:i4>
      </vt:variant>
      <vt:variant>
        <vt:i4>81</vt:i4>
      </vt:variant>
      <vt:variant>
        <vt:i4>0</vt:i4>
      </vt:variant>
      <vt:variant>
        <vt:i4>5</vt:i4>
      </vt:variant>
      <vt:variant>
        <vt:lpwstr>https://eur-lex.europa.eu/legal-content/en/ALL/?uri=CELEX%3A32001L0083</vt:lpwstr>
      </vt:variant>
      <vt:variant>
        <vt:lpwstr/>
      </vt:variant>
      <vt:variant>
        <vt:i4>7995503</vt:i4>
      </vt:variant>
      <vt:variant>
        <vt:i4>78</vt:i4>
      </vt:variant>
      <vt:variant>
        <vt:i4>0</vt:i4>
      </vt:variant>
      <vt:variant>
        <vt:i4>5</vt:i4>
      </vt:variant>
      <vt:variant>
        <vt:lpwstr>https://eur-lex.europa.eu/legal-content/en/ALL/?uri=CELEX%3A32001L0083</vt:lpwstr>
      </vt:variant>
      <vt:variant>
        <vt:lpwstr/>
      </vt:variant>
      <vt:variant>
        <vt:i4>3670134</vt:i4>
      </vt:variant>
      <vt:variant>
        <vt:i4>75</vt:i4>
      </vt:variant>
      <vt:variant>
        <vt:i4>0</vt:i4>
      </vt:variant>
      <vt:variant>
        <vt:i4>5</vt:i4>
      </vt:variant>
      <vt:variant>
        <vt:lpwstr>https://www.ema.europa.eu/en/human-regulatory/post-authorisation/pharmacovigilance/medication-errors</vt:lpwstr>
      </vt:variant>
      <vt:variant>
        <vt:lpwstr>good-practice-guide-section</vt:lpwstr>
      </vt:variant>
      <vt:variant>
        <vt:i4>3342408</vt:i4>
      </vt:variant>
      <vt:variant>
        <vt:i4>72</vt:i4>
      </vt:variant>
      <vt:variant>
        <vt:i4>0</vt:i4>
      </vt:variant>
      <vt:variant>
        <vt:i4>5</vt:i4>
      </vt:variant>
      <vt:variant>
        <vt:lpwstr>https://www.ema.europa.eu/en/documents/regulatory-procedural-guideline/guideline-good-pharmacovigilance-practices-gvp-module-vi-collection-management-submission-reports-suspected-adverse-reactions-medicinal-products-rev-2_en.pdf</vt:lpwstr>
      </vt:variant>
      <vt:variant>
        <vt:lpwstr/>
      </vt:variant>
      <vt:variant>
        <vt:i4>7995503</vt:i4>
      </vt:variant>
      <vt:variant>
        <vt:i4>69</vt:i4>
      </vt:variant>
      <vt:variant>
        <vt:i4>0</vt:i4>
      </vt:variant>
      <vt:variant>
        <vt:i4>5</vt:i4>
      </vt:variant>
      <vt:variant>
        <vt:lpwstr>https://eur-lex.europa.eu/legal-content/en/ALL/?uri=CELEX%3A32001L0083</vt:lpwstr>
      </vt:variant>
      <vt:variant>
        <vt:lpwstr/>
      </vt:variant>
      <vt:variant>
        <vt:i4>1900607</vt:i4>
      </vt:variant>
      <vt:variant>
        <vt:i4>62</vt:i4>
      </vt:variant>
      <vt:variant>
        <vt:i4>0</vt:i4>
      </vt:variant>
      <vt:variant>
        <vt:i4>5</vt:i4>
      </vt:variant>
      <vt:variant>
        <vt:lpwstr/>
      </vt:variant>
      <vt:variant>
        <vt:lpwstr>_Toc229574393</vt:lpwstr>
      </vt:variant>
      <vt:variant>
        <vt:i4>1900607</vt:i4>
      </vt:variant>
      <vt:variant>
        <vt:i4>56</vt:i4>
      </vt:variant>
      <vt:variant>
        <vt:i4>0</vt:i4>
      </vt:variant>
      <vt:variant>
        <vt:i4>5</vt:i4>
      </vt:variant>
      <vt:variant>
        <vt:lpwstr/>
      </vt:variant>
      <vt:variant>
        <vt:lpwstr>_Toc229574392</vt:lpwstr>
      </vt:variant>
      <vt:variant>
        <vt:i4>1900607</vt:i4>
      </vt:variant>
      <vt:variant>
        <vt:i4>50</vt:i4>
      </vt:variant>
      <vt:variant>
        <vt:i4>0</vt:i4>
      </vt:variant>
      <vt:variant>
        <vt:i4>5</vt:i4>
      </vt:variant>
      <vt:variant>
        <vt:lpwstr/>
      </vt:variant>
      <vt:variant>
        <vt:lpwstr>_Toc229574391</vt:lpwstr>
      </vt:variant>
      <vt:variant>
        <vt:i4>1900607</vt:i4>
      </vt:variant>
      <vt:variant>
        <vt:i4>44</vt:i4>
      </vt:variant>
      <vt:variant>
        <vt:i4>0</vt:i4>
      </vt:variant>
      <vt:variant>
        <vt:i4>5</vt:i4>
      </vt:variant>
      <vt:variant>
        <vt:lpwstr/>
      </vt:variant>
      <vt:variant>
        <vt:lpwstr>_Toc229574390</vt:lpwstr>
      </vt:variant>
      <vt:variant>
        <vt:i4>1835071</vt:i4>
      </vt:variant>
      <vt:variant>
        <vt:i4>38</vt:i4>
      </vt:variant>
      <vt:variant>
        <vt:i4>0</vt:i4>
      </vt:variant>
      <vt:variant>
        <vt:i4>5</vt:i4>
      </vt:variant>
      <vt:variant>
        <vt:lpwstr/>
      </vt:variant>
      <vt:variant>
        <vt:lpwstr>_Toc229574389</vt:lpwstr>
      </vt:variant>
      <vt:variant>
        <vt:i4>1835071</vt:i4>
      </vt:variant>
      <vt:variant>
        <vt:i4>32</vt:i4>
      </vt:variant>
      <vt:variant>
        <vt:i4>0</vt:i4>
      </vt:variant>
      <vt:variant>
        <vt:i4>5</vt:i4>
      </vt:variant>
      <vt:variant>
        <vt:lpwstr/>
      </vt:variant>
      <vt:variant>
        <vt:lpwstr>_Toc229574381</vt:lpwstr>
      </vt:variant>
      <vt:variant>
        <vt:i4>1245247</vt:i4>
      </vt:variant>
      <vt:variant>
        <vt:i4>26</vt:i4>
      </vt:variant>
      <vt:variant>
        <vt:i4>0</vt:i4>
      </vt:variant>
      <vt:variant>
        <vt:i4>5</vt:i4>
      </vt:variant>
      <vt:variant>
        <vt:lpwstr/>
      </vt:variant>
      <vt:variant>
        <vt:lpwstr>_Toc229574378</vt:lpwstr>
      </vt:variant>
      <vt:variant>
        <vt:i4>1245247</vt:i4>
      </vt:variant>
      <vt:variant>
        <vt:i4>20</vt:i4>
      </vt:variant>
      <vt:variant>
        <vt:i4>0</vt:i4>
      </vt:variant>
      <vt:variant>
        <vt:i4>5</vt:i4>
      </vt:variant>
      <vt:variant>
        <vt:lpwstr/>
      </vt:variant>
      <vt:variant>
        <vt:lpwstr>_Toc229574377</vt:lpwstr>
      </vt:variant>
      <vt:variant>
        <vt:i4>1245247</vt:i4>
      </vt:variant>
      <vt:variant>
        <vt:i4>14</vt:i4>
      </vt:variant>
      <vt:variant>
        <vt:i4>0</vt:i4>
      </vt:variant>
      <vt:variant>
        <vt:i4>5</vt:i4>
      </vt:variant>
      <vt:variant>
        <vt:lpwstr/>
      </vt:variant>
      <vt:variant>
        <vt:lpwstr>_Toc229574374</vt:lpwstr>
      </vt:variant>
      <vt:variant>
        <vt:i4>1245247</vt:i4>
      </vt:variant>
      <vt:variant>
        <vt:i4>8</vt:i4>
      </vt:variant>
      <vt:variant>
        <vt:i4>0</vt:i4>
      </vt:variant>
      <vt:variant>
        <vt:i4>5</vt:i4>
      </vt:variant>
      <vt:variant>
        <vt:lpwstr/>
      </vt:variant>
      <vt:variant>
        <vt:lpwstr>_Toc229574373</vt:lpwstr>
      </vt:variant>
      <vt:variant>
        <vt:i4>1245247</vt:i4>
      </vt:variant>
      <vt:variant>
        <vt:i4>2</vt:i4>
      </vt:variant>
      <vt:variant>
        <vt:i4>0</vt:i4>
      </vt:variant>
      <vt:variant>
        <vt:i4>5</vt:i4>
      </vt:variant>
      <vt:variant>
        <vt:lpwstr/>
      </vt:variant>
      <vt:variant>
        <vt:lpwstr>_Toc229574372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2</dc:title>
  <dc:subject/>
  <dc:creator>Government of Malta</dc:creator>
  <cp:keywords/>
  <cp:lastModifiedBy>Micallef Benjamin at Medicines Authority</cp:lastModifiedBy>
  <cp:revision>2</cp:revision>
  <cp:lastPrinted>2026-08-06T07:29:00Z</cp:lastPrinted>
  <dcterms:created xsi:type="dcterms:W3CDTF">2026-08-06T07:29:00Z</dcterms:created>
  <dcterms:modified xsi:type="dcterms:W3CDTF">2026-08-06T07:29:00Z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0x010100ACD10706B3DD5E4FBB4F999DCC8091B1</vt:lpwstr>
  </property>
  <property fmtid="{D5CDD505-2E9C-101B-9397-08002B2CF9AE}" pid="5" name="MediaServiceImageTags">
    <vt:lpwstr/>
  </property>
</Properties>
</file>